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13A15">
      <w:pPr>
        <w:widowControl/>
        <w:shd w:val="clear" w:color="auto" w:fill="FFFFFF"/>
        <w:spacing w:line="560" w:lineRule="exact"/>
        <w:jc w:val="center"/>
        <w:rPr>
          <w:rFonts w:ascii="方正小标宋简体" w:hAnsi="黑体" w:eastAsia="方正小标宋简体" w:cs="宋体"/>
          <w:bCs/>
          <w:color w:val="000000" w:themeColor="text1"/>
          <w:kern w:val="0"/>
          <w:sz w:val="36"/>
          <w:szCs w:val="36"/>
        </w:rPr>
      </w:pPr>
      <w:r>
        <w:rPr>
          <w:rFonts w:hint="eastAsia" w:ascii="方正小标宋简体" w:hAnsi="黑体" w:eastAsia="方正小标宋简体" w:cs="宋体"/>
          <w:bCs/>
          <w:color w:val="000000" w:themeColor="text1"/>
          <w:kern w:val="0"/>
          <w:sz w:val="36"/>
          <w:szCs w:val="36"/>
        </w:rPr>
        <w:t>北京市知识产权局2018年政府信息公开工作</w:t>
      </w:r>
    </w:p>
    <w:p w14:paraId="02B90E24">
      <w:pPr>
        <w:widowControl/>
        <w:shd w:val="clear" w:color="auto" w:fill="FFFFFF"/>
        <w:spacing w:line="560" w:lineRule="exact"/>
        <w:jc w:val="center"/>
        <w:rPr>
          <w:rFonts w:ascii="方正小标宋简体" w:hAnsi="黑体" w:eastAsia="方正小标宋简体" w:cs="宋体"/>
          <w:bCs/>
          <w:color w:val="000000" w:themeColor="text1"/>
          <w:kern w:val="0"/>
          <w:sz w:val="36"/>
          <w:szCs w:val="36"/>
        </w:rPr>
      </w:pPr>
      <w:r>
        <w:rPr>
          <w:rFonts w:hint="eastAsia" w:ascii="方正小标宋简体" w:hAnsi="黑体" w:eastAsia="方正小标宋简体" w:cs="宋体"/>
          <w:bCs/>
          <w:color w:val="000000" w:themeColor="text1"/>
          <w:kern w:val="0"/>
          <w:sz w:val="36"/>
          <w:szCs w:val="36"/>
        </w:rPr>
        <w:t>年度报告</w:t>
      </w:r>
    </w:p>
    <w:p w14:paraId="2F764C55">
      <w:pPr>
        <w:widowControl/>
        <w:shd w:val="clear" w:color="auto" w:fill="FFFFFF"/>
        <w:spacing w:line="560" w:lineRule="exact"/>
        <w:rPr>
          <w:rFonts w:ascii="仿宋_GB2312" w:hAnsi="仿宋" w:eastAsia="仿宋_GB2312" w:cs="仿宋"/>
          <w:color w:val="000000"/>
          <w:kern w:val="0"/>
          <w:sz w:val="32"/>
          <w:szCs w:val="32"/>
        </w:rPr>
      </w:pPr>
      <w:r>
        <w:rPr>
          <w:rFonts w:hint="eastAsia" w:ascii="宋体" w:hAnsi="宋体" w:eastAsia="仿宋_GB2312" w:cs="宋体"/>
          <w:color w:val="000000"/>
          <w:kern w:val="0"/>
          <w:sz w:val="32"/>
          <w:szCs w:val="32"/>
        </w:rPr>
        <w:t>   </w:t>
      </w:r>
      <w:r>
        <w:rPr>
          <w:rFonts w:hint="eastAsia" w:ascii="仿宋_GB2312" w:hAnsi="仿宋" w:eastAsia="仿宋_GB2312" w:cs="仿宋"/>
          <w:color w:val="000000"/>
          <w:kern w:val="0"/>
          <w:sz w:val="32"/>
          <w:szCs w:val="32"/>
        </w:rPr>
        <w:t xml:space="preserve"> </w:t>
      </w:r>
    </w:p>
    <w:p w14:paraId="691C4AB1">
      <w:pPr>
        <w:widowControl/>
        <w:shd w:val="clear" w:color="auto" w:fill="FFFFFF"/>
        <w:spacing w:line="560" w:lineRule="exact"/>
        <w:ind w:firstLine="640" w:firstLineChars="200"/>
        <w:rPr>
          <w:rFonts w:ascii="仿宋_GB2312" w:hAnsi="Calibri" w:eastAsia="仿宋_GB2312" w:cs="宋体"/>
          <w:color w:val="000000"/>
          <w:kern w:val="0"/>
          <w:sz w:val="32"/>
          <w:szCs w:val="32"/>
        </w:rPr>
      </w:pPr>
      <w:bookmarkStart w:id="0" w:name="OLE_LINK1"/>
      <w:r>
        <w:rPr>
          <w:rFonts w:hint="eastAsia" w:ascii="仿宋_GB2312" w:hAnsi="仿宋" w:eastAsia="仿宋_GB2312" w:cs="宋体"/>
          <w:color w:val="000000"/>
          <w:kern w:val="0"/>
          <w:sz w:val="32"/>
          <w:szCs w:val="32"/>
        </w:rPr>
        <w:t>本报告是根据《中华人民共和国政府信息公开条例》（以下简称《条例》）要求，由北京市知识产权局编制的</w:t>
      </w:r>
      <w:r>
        <w:rPr>
          <w:rFonts w:hint="eastAsia" w:ascii="仿宋_GB2312" w:hAnsi="宋体" w:eastAsia="仿宋_GB2312" w:cs="宋体"/>
          <w:color w:val="000000"/>
          <w:kern w:val="0"/>
          <w:sz w:val="32"/>
          <w:szCs w:val="32"/>
        </w:rPr>
        <w:t>2018</w:t>
      </w:r>
      <w:r>
        <w:rPr>
          <w:rFonts w:hint="eastAsia" w:ascii="仿宋_GB2312" w:hAnsi="仿宋" w:eastAsia="仿宋_GB2312" w:cs="宋体"/>
          <w:color w:val="000000"/>
          <w:kern w:val="0"/>
          <w:sz w:val="32"/>
          <w:szCs w:val="32"/>
        </w:rPr>
        <w:t>年度政府信息公开年度报告。</w:t>
      </w:r>
    </w:p>
    <w:p w14:paraId="2337DC07">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报告全文分七个部分，包括概述；落实《北京市2018年政务公开工作要点》情况；行政机关主动公开政府信息的情况；行政机关依申请公开政府信息和不予公开政府信息的情况；因政府信息公开申请行政复议、提起行政诉讼的情况；政府信息公开的收费以及免除费用的情况；政府信息公开工作存在的不足以及改进措施等。报告后附《北京市知识产权局政府信息公开情况统计表（2018年度）》。</w:t>
      </w:r>
    </w:p>
    <w:p w14:paraId="1D2B4AC5">
      <w:pPr>
        <w:widowControl/>
        <w:shd w:val="clear" w:color="auto" w:fill="FFFFFF"/>
        <w:spacing w:line="560" w:lineRule="exact"/>
        <w:rPr>
          <w:rFonts w:ascii="仿宋_GB2312" w:hAnsi="Calibri" w:eastAsia="仿宋_GB2312" w:cs="宋体"/>
          <w:color w:val="000000"/>
          <w:kern w:val="0"/>
          <w:sz w:val="32"/>
          <w:szCs w:val="32"/>
        </w:rPr>
      </w:pPr>
      <w:r>
        <w:rPr>
          <w:rFonts w:hint="eastAsia" w:ascii="仿宋_GB2312" w:hAnsi="仿宋" w:eastAsia="仿宋_GB2312" w:cs="宋体"/>
          <w:color w:val="000000"/>
          <w:kern w:val="0"/>
          <w:sz w:val="32"/>
          <w:szCs w:val="32"/>
        </w:rPr>
        <w:t>　　北京市知识产权局政府网站（</w:t>
      </w:r>
      <w:r>
        <w:fldChar w:fldCharType="begin"/>
      </w:r>
      <w:r>
        <w:instrText xml:space="preserve"> HYPERLINK "http://www.bjipo.gov.cn/" </w:instrText>
      </w:r>
      <w:r>
        <w:fldChar w:fldCharType="separate"/>
      </w:r>
      <w:r>
        <w:rPr>
          <w:rFonts w:hint="eastAsia" w:ascii="仿宋_GB2312" w:hAnsi="仿宋" w:eastAsia="仿宋_GB2312" w:cs="宋体"/>
          <w:color w:val="000000"/>
          <w:kern w:val="0"/>
          <w:sz w:val="32"/>
          <w:szCs w:val="32"/>
        </w:rPr>
        <w:t>www.bjipo.gov.cn</w:t>
      </w:r>
      <w:r>
        <w:rPr>
          <w:rFonts w:hint="eastAsia"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rPr>
        <w:t>）上可下载本报告的电子版。如对本报告有任何疑问，请联系：北京市知识产权局，地址：北京市西城区德胜门东大街8号东联大厦2层，联系电话：84080089/84080086。</w:t>
      </w:r>
    </w:p>
    <w:p w14:paraId="6B4D71B0">
      <w:pPr>
        <w:widowControl/>
        <w:shd w:val="clear" w:color="auto" w:fill="FFFFFF"/>
        <w:spacing w:line="56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 　一、概述</w:t>
      </w:r>
    </w:p>
    <w:p w14:paraId="6652DB30">
      <w:pPr>
        <w:widowControl/>
        <w:shd w:val="clear" w:color="auto" w:fill="FFFFFF"/>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根据《条例》要求，我局成立了政府信息公开领导小组和工作小组，负责推进、指导、协调、监督我局政府信息公开工作，设立了1个专门的信息申请受理点，并在我局门户网站上开辟了政府信息公开专栏，集中展示我局主动公开的政府信息；开设依申请公开网页，进一步畅通信息公开受理渠道，方便群众提出信息公开申请。截至2018年底，我局政府信息公开工作运行顺畅，政府信息公开咨询、申请以及答复工作均进展顺利。</w:t>
      </w:r>
    </w:p>
    <w:p w14:paraId="54CA10EC">
      <w:pPr>
        <w:widowControl/>
        <w:shd w:val="clear" w:color="auto" w:fill="FFFFFF"/>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color w:val="000000"/>
          <w:kern w:val="0"/>
          <w:sz w:val="32"/>
          <w:szCs w:val="32"/>
        </w:rPr>
        <w:t>严格政府信息公开审查，建立政务信息发布台账。在局机关及直属事业单位实行政府信息公开保密审查制度，在信息发布前要进行逐级审查，对公开内容表述、公开时机、公开方式等进行严格把关，既要做好保密审查，又要依法保护好商业秘密、个人隐私，避免发生信息发布失信、影响社会稳定等问题。</w:t>
      </w:r>
    </w:p>
    <w:p w14:paraId="03C7C6E4">
      <w:pPr>
        <w:widowControl/>
        <w:shd w:val="clear" w:color="auto" w:fill="FFFFFF"/>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全年共组织从事政府信息公开工作人员参加专题培训2人次。2018年3月，我局门户网站进行了改版并上线运行，进一步完善了政府网站平台，优化信息公开渠道，对门户网站的各项功能板块进行了进一步调整、完善和优化。在此基础上做好网页申请页面，测试在线申请功能等。政府信息公开的栏目布局更加合理化和便民化，页面展示功能简约，栏目分类清晰，极大提升了用户体验水平。</w:t>
      </w:r>
    </w:p>
    <w:p w14:paraId="0B11F7DD">
      <w:pPr>
        <w:widowControl/>
        <w:shd w:val="clear" w:color="auto" w:fill="FFFFFF"/>
        <w:spacing w:line="560" w:lineRule="exact"/>
        <w:ind w:firstLine="640" w:firstLineChars="200"/>
        <w:rPr>
          <w:rFonts w:ascii="Arial" w:hAnsi="Arial" w:eastAsia="黑体" w:cs="Arial"/>
          <w:color w:val="000000"/>
          <w:kern w:val="0"/>
          <w:sz w:val="32"/>
          <w:szCs w:val="32"/>
        </w:rPr>
      </w:pPr>
      <w:r>
        <w:rPr>
          <w:rFonts w:hint="eastAsia" w:ascii="Arial" w:hAnsi="Arial" w:eastAsia="黑体" w:cs="Arial"/>
          <w:color w:val="000000"/>
          <w:kern w:val="0"/>
          <w:sz w:val="32"/>
          <w:szCs w:val="32"/>
        </w:rPr>
        <w:t>二、落实《北京市2018年政务公开工作要点》情况</w:t>
      </w:r>
    </w:p>
    <w:p w14:paraId="7CBA2559">
      <w:pPr>
        <w:widowControl/>
        <w:shd w:val="clear" w:color="auto" w:fill="FFFFFF"/>
        <w:spacing w:line="560" w:lineRule="exact"/>
        <w:ind w:left="1800" w:hanging="1080"/>
        <w:rPr>
          <w:rFonts w:ascii="楷体_GB2312" w:hAnsi="Calibri" w:eastAsia="楷体_GB2312" w:cs="宋体"/>
          <w:kern w:val="0"/>
          <w:sz w:val="32"/>
          <w:szCs w:val="32"/>
        </w:rPr>
      </w:pPr>
      <w:r>
        <w:rPr>
          <w:rFonts w:hint="eastAsia" w:ascii="楷体_GB2312" w:hAnsi="仿宋" w:eastAsia="楷体_GB2312" w:cs="宋体"/>
          <w:kern w:val="0"/>
          <w:sz w:val="32"/>
          <w:szCs w:val="32"/>
        </w:rPr>
        <w:t>（一）围绕重点领域加大信息公开力度。</w:t>
      </w:r>
    </w:p>
    <w:p w14:paraId="0FBDA480">
      <w:pPr>
        <w:widowControl/>
        <w:shd w:val="clear" w:color="auto" w:fill="FFFFFF"/>
        <w:spacing w:line="560" w:lineRule="exact"/>
        <w:ind w:firstLine="640"/>
        <w:rPr>
          <w:rFonts w:ascii="仿宋_GB2312" w:eastAsia="仿宋_GB2312"/>
          <w:sz w:val="32"/>
          <w:szCs w:val="32"/>
        </w:rPr>
      </w:pPr>
      <w:r>
        <w:rPr>
          <w:rFonts w:hint="eastAsia" w:ascii="仿宋_GB2312" w:eastAsia="仿宋_GB2312"/>
          <w:sz w:val="32"/>
          <w:szCs w:val="32"/>
        </w:rPr>
        <w:t>按照全市重点领域政府信息公开的工作要求，严格做好财政预决算、绩效管理等政府信息公开工作。继续推进预算决算和“三公”经费公开，按照全市统一要求，不断细化预决算和“三公”经费公开内容，加大财政性资金公开力度，提高社会公共资金公开透明度。定期在我局“绩效管理”栏目发布我局年度绩效管理任务及完成情况，确保公开内容全面、准确、详实。同时，我局将上述重点领域信息纳入主动公开基本目录，持续推进，主动接受社会监督。认真做好人大代表建议和政协委员提案办理结果公开，我局2018年办理的13件建议提案均按照公开要求在政府网站专题集中公开。加强对专利代理行业事中</w:t>
      </w:r>
      <w:r>
        <w:rPr>
          <w:rFonts w:hint="eastAsia" w:ascii="仿宋_GB2312" w:hAnsi="宋体" w:eastAsia="仿宋_GB2312" w:cs="宋体"/>
          <w:kern w:val="0"/>
          <w:sz w:val="32"/>
          <w:szCs w:val="32"/>
        </w:rPr>
        <w:t>事后监管，每月随机检查5家专利代理机构，2018年累计检查55家,依法处理对专利代理机构和专利代理人举报投诉案件，对专利代理机构做出警告处罚1件，在我局</w:t>
      </w:r>
      <w:r>
        <w:rPr>
          <w:rFonts w:hint="eastAsia" w:ascii="仿宋_GB2312" w:eastAsia="仿宋_GB2312"/>
          <w:sz w:val="32"/>
          <w:szCs w:val="32"/>
        </w:rPr>
        <w:t>门户网站政务信息专栏中进行了</w:t>
      </w:r>
      <w:r>
        <w:rPr>
          <w:rFonts w:hint="eastAsia" w:ascii="仿宋_GB2312" w:hAnsi="宋体" w:eastAsia="仿宋_GB2312" w:cs="宋体"/>
          <w:kern w:val="0"/>
          <w:sz w:val="32"/>
          <w:szCs w:val="32"/>
        </w:rPr>
        <w:t>公示。</w:t>
      </w:r>
    </w:p>
    <w:p w14:paraId="69A137A4">
      <w:pPr>
        <w:widowControl/>
        <w:shd w:val="clear" w:color="auto" w:fill="FFFFFF"/>
        <w:spacing w:line="560" w:lineRule="exact"/>
        <w:ind w:firstLine="640"/>
        <w:rPr>
          <w:rFonts w:ascii="楷体_GB2312" w:hAnsi="仿宋" w:eastAsia="楷体_GB2312" w:cs="宋体"/>
          <w:kern w:val="0"/>
          <w:sz w:val="32"/>
          <w:szCs w:val="32"/>
        </w:rPr>
      </w:pPr>
      <w:r>
        <w:rPr>
          <w:rFonts w:hint="eastAsia" w:ascii="楷体_GB2312" w:hAnsi="仿宋" w:eastAsia="楷体_GB2312" w:cs="宋体"/>
          <w:kern w:val="0"/>
          <w:sz w:val="32"/>
          <w:szCs w:val="32"/>
        </w:rPr>
        <w:t>（二）围绕法治政府建设加强政策解读。</w:t>
      </w:r>
    </w:p>
    <w:p w14:paraId="05D0D5F3">
      <w:pPr>
        <w:widowControl/>
        <w:shd w:val="clear" w:color="auto" w:fill="FFFFFF"/>
        <w:spacing w:line="560" w:lineRule="exact"/>
        <w:ind w:firstLine="640"/>
        <w:rPr>
          <w:rFonts w:ascii="仿宋_GB2312" w:eastAsia="仿宋_GB2312"/>
          <w:sz w:val="32"/>
          <w:szCs w:val="32"/>
        </w:rPr>
      </w:pPr>
      <w:r>
        <w:rPr>
          <w:rFonts w:hint="eastAsia" w:ascii="仿宋_GB2312" w:hAnsi="仿宋" w:eastAsia="仿宋_GB2312" w:cs="宋体"/>
          <w:kern w:val="0"/>
          <w:sz w:val="32"/>
          <w:szCs w:val="32"/>
        </w:rPr>
        <w:t>在我局门户网站</w:t>
      </w:r>
      <w:r>
        <w:rPr>
          <w:rFonts w:hint="eastAsia" w:ascii="仿宋_GB2312" w:hAnsi="仿宋_GB2312" w:eastAsia="仿宋_GB2312" w:cs="仿宋_GB2312"/>
          <w:sz w:val="32"/>
          <w:szCs w:val="32"/>
        </w:rPr>
        <w:t>设置“政策法规”专栏，对知识产权政策文件按“法律法规”、“规章”、“规范性文件”进行了分类，并定期对知识产权政策文件进行公开更新发布。</w:t>
      </w:r>
      <w:r>
        <w:rPr>
          <w:rFonts w:hint="eastAsia" w:ascii="仿宋_GB2312" w:eastAsia="仿宋_GB2312"/>
          <w:sz w:val="32"/>
          <w:szCs w:val="32"/>
        </w:rPr>
        <w:t>2018年，我局共出台公布政策文件4件，开展政策文件清理工作，共废止《关于印发&lt;北京市“十一五”时期知识产权事业发展规划&gt;的通知》等21件规范性文件，形成《北京市知识产权局关于废止部分规范性文件的通知》，并在我局门户网站“通知公告”栏目进行了公示。我局门户网站设置了“政策解读”专栏，按照“谁起草、谁解读”的原则，做到了政策性文件与解读材料同步起草、同步审签、同步发布；解读政策时，对政策措施的背景依据、目标任务、主要内容、涉及范围、执行标准等内容均进行了详细解读。在文件公布时，相关解读材料与文件同步在我局门户网站发布；在文件执行过程中，能够密切跟踪舆情，根据政策执行情况，及时发布政策有关情况说明，解疑释惑，增强主动性、针对性和时效性。</w:t>
      </w:r>
    </w:p>
    <w:p w14:paraId="6B6EA9A3">
      <w:pPr>
        <w:spacing w:line="560" w:lineRule="exact"/>
        <w:ind w:firstLine="640" w:firstLineChars="200"/>
        <w:rPr>
          <w:rFonts w:ascii="楷体_GB2312" w:hAnsi="仿宋" w:eastAsia="楷体_GB2312" w:cs="宋体"/>
          <w:kern w:val="0"/>
          <w:sz w:val="32"/>
          <w:szCs w:val="32"/>
        </w:rPr>
      </w:pPr>
      <w:r>
        <w:rPr>
          <w:rFonts w:hint="eastAsia" w:ascii="楷体_GB2312" w:hAnsi="仿宋" w:eastAsia="楷体_GB2312" w:cs="宋体"/>
          <w:kern w:val="0"/>
          <w:sz w:val="32"/>
          <w:szCs w:val="32"/>
        </w:rPr>
        <w:t>（三）围绕社会关切加强舆情回应。</w:t>
      </w:r>
    </w:p>
    <w:p w14:paraId="222F6BE0">
      <w:pPr>
        <w:widowControl/>
        <w:shd w:val="clear" w:color="auto" w:fill="FFFFFF"/>
        <w:spacing w:line="560" w:lineRule="exact"/>
        <w:ind w:firstLine="640"/>
        <w:rPr>
          <w:rFonts w:ascii="仿宋_GB2312" w:eastAsia="仿宋_GB2312"/>
          <w:sz w:val="32"/>
          <w:szCs w:val="32"/>
        </w:rPr>
      </w:pPr>
      <w:r>
        <w:rPr>
          <w:rFonts w:hint="eastAsia" w:ascii="仿宋_GB2312" w:eastAsia="仿宋_GB2312" w:hAnsiTheme="minorEastAsia"/>
          <w:sz w:val="32"/>
          <w:szCs w:val="32"/>
        </w:rPr>
        <w:t>针对微信、微博和今日头条号等平台用户阅读量、留言情况进行了分析，对用户和群众感兴趣、关注度高的内容进行了梳理，逐步健全了政务舆情的收集、会商、研判、回应和评估机制。2018年，围绕用户和群众较为关切的改革开放40年专题、《专利代理条例》修改、专利资助政策等内容进行了提前策划，确保相关信息及时发布，及时回应社会关切。继续在微信公众号上开设“专利申请问答”栏目并及时发布我局相关工作通知、公告等，为用户提供高效便捷的服务。高度重视新媒体信息发布的流程和机制把控，按照“谁开设、谁管理”的原则，落实主体责任，严格内容审查把关。指定专人负责相关微信公众号和今日头条号的选题申报、编辑制作及运营维护工作，制定一系列运营管理机制并不断加以完善，为相关工作的顺利开展提供了重要保障。</w:t>
      </w:r>
      <w:r>
        <w:rPr>
          <w:rFonts w:hint="eastAsia" w:ascii="仿宋_GB2312" w:eastAsia="仿宋_GB2312"/>
          <w:sz w:val="32"/>
          <w:szCs w:val="32"/>
        </w:rPr>
        <w:t>切实强化舆情引导，加强互联网信息监测，力争第一时间掌握网上突发事件信息，主动核实有关信息、防止形成社会炒作的热点焦点。</w:t>
      </w:r>
    </w:p>
    <w:p w14:paraId="4027B424">
      <w:pPr>
        <w:widowControl/>
        <w:shd w:val="clear" w:color="auto" w:fill="FFFFFF"/>
        <w:spacing w:line="560" w:lineRule="exact"/>
        <w:ind w:firstLine="640"/>
        <w:rPr>
          <w:rFonts w:ascii="楷体_GB2312" w:hAnsi="仿宋" w:eastAsia="楷体_GB2312" w:cs="宋体"/>
          <w:kern w:val="0"/>
          <w:sz w:val="32"/>
          <w:szCs w:val="32"/>
        </w:rPr>
      </w:pPr>
      <w:r>
        <w:rPr>
          <w:rFonts w:hint="eastAsia" w:ascii="楷体_GB2312" w:hAnsi="仿宋" w:eastAsia="楷体_GB2312" w:cs="宋体"/>
          <w:kern w:val="0"/>
          <w:sz w:val="32"/>
          <w:szCs w:val="32"/>
        </w:rPr>
        <w:t>（四）推进网上办事服务公开，加强政民互动。</w:t>
      </w:r>
    </w:p>
    <w:p w14:paraId="4C3DE454">
      <w:pPr>
        <w:widowControl/>
        <w:shd w:val="clear" w:color="auto" w:fill="FFFFFF"/>
        <w:spacing w:line="560" w:lineRule="exact"/>
        <w:ind w:firstLine="640"/>
        <w:rPr>
          <w:rFonts w:ascii="楷体_GB2312" w:hAnsi="仿宋" w:eastAsia="楷体_GB2312" w:cs="宋体"/>
          <w:kern w:val="0"/>
          <w:sz w:val="32"/>
          <w:szCs w:val="32"/>
        </w:rPr>
      </w:pPr>
      <w:r>
        <w:rPr>
          <w:rFonts w:hint="eastAsia" w:ascii="仿宋_GB2312" w:eastAsia="仿宋_GB2312"/>
          <w:sz w:val="32"/>
          <w:szCs w:val="32"/>
        </w:rPr>
        <w:t>我局不断深化“放管服”改革，持续转变政府职能，积极推进“互联网+政务服务”，提升“一网通办”工作效率，以更好地服务全国科技创新中心建设。我局原有公共服务事项精简整合后共4项，所有事项全部网上办理，网上办理开通率达到100%，且全部接入市政务综合服务平台，同时在我局门户网站设立专栏对社会公众进行服务。为了规范留言办理程序，提高办理质量，制定了留言办理流程，对网民留言、咨询的受理、转办和反馈机制进行了明确规定，确保及时处理答复，增强公众参与度和政民互动效果。</w:t>
      </w:r>
    </w:p>
    <w:p w14:paraId="4B380319">
      <w:pPr>
        <w:spacing w:line="560" w:lineRule="exact"/>
        <w:ind w:firstLine="640" w:firstLineChars="200"/>
        <w:rPr>
          <w:rFonts w:ascii="楷体_GB2312" w:hAnsi="仿宋" w:eastAsia="楷体_GB2312" w:cs="宋体"/>
          <w:kern w:val="0"/>
          <w:sz w:val="32"/>
          <w:szCs w:val="32"/>
        </w:rPr>
      </w:pPr>
      <w:r>
        <w:rPr>
          <w:rFonts w:hint="eastAsia" w:ascii="楷体_GB2312" w:hAnsi="仿宋" w:eastAsia="楷体_GB2312" w:cs="宋体"/>
          <w:kern w:val="0"/>
          <w:sz w:val="32"/>
          <w:szCs w:val="32"/>
        </w:rPr>
        <w:t>（五）提升实体政务大厅服务能力，优化办事服务。</w:t>
      </w:r>
    </w:p>
    <w:p w14:paraId="0CA215E2">
      <w:pPr>
        <w:widowControl/>
        <w:shd w:val="clear" w:color="auto" w:fill="FFFFFF"/>
        <w:spacing w:line="560" w:lineRule="exact"/>
        <w:ind w:firstLine="640" w:firstLineChars="200"/>
        <w:rPr>
          <w:rFonts w:ascii="仿宋_GB2312" w:hAnsi="Calibri" w:eastAsia="仿宋_GB2312" w:cs="宋体"/>
          <w:kern w:val="0"/>
          <w:sz w:val="32"/>
          <w:szCs w:val="32"/>
        </w:rPr>
      </w:pPr>
      <w:r>
        <w:rPr>
          <w:rFonts w:hint="eastAsia" w:ascii="仿宋_GB2312" w:eastAsia="仿宋_GB2312"/>
          <w:sz w:val="32"/>
          <w:szCs w:val="32"/>
        </w:rPr>
        <w:t>按照市政府对公共服务事项“一网、一门、一次”的办理标准，我局全部4项公共事项已进驻市政务服务中心，均已达到“最多跑一次”。所有市区两级行使的公共服务事项均已编制完成办事指南并对外公布。最大限度减少办事环节，缩短办事时限，改进服务质量。资助申报</w:t>
      </w:r>
      <w:r>
        <w:rPr>
          <w:rFonts w:ascii="仿宋_GB2312" w:eastAsia="仿宋_GB2312"/>
          <w:sz w:val="32"/>
          <w:szCs w:val="32"/>
        </w:rPr>
        <w:t>工作实现全程网上办理，</w:t>
      </w:r>
      <w:r>
        <w:rPr>
          <w:rFonts w:hint="eastAsia" w:ascii="仿宋_GB2312" w:eastAsia="仿宋_GB2312"/>
          <w:sz w:val="32"/>
          <w:szCs w:val="32"/>
        </w:rPr>
        <w:t>申请人“最多跑一次”，即可完成资金申领</w:t>
      </w:r>
      <w:r>
        <w:rPr>
          <w:rFonts w:ascii="仿宋_GB2312" w:eastAsia="仿宋_GB2312"/>
          <w:sz w:val="32"/>
          <w:szCs w:val="32"/>
        </w:rPr>
        <w:t>。</w:t>
      </w:r>
      <w:r>
        <w:rPr>
          <w:rFonts w:hint="eastAsia" w:ascii="仿宋_GB2312" w:eastAsia="仿宋_GB2312"/>
          <w:sz w:val="32"/>
          <w:szCs w:val="32"/>
        </w:rPr>
        <w:t>选取昌平区、朝阳区和经济技术开发区试点开展北京市专利资助金申报的受理、审核工作，推动由单一地点办理变为多地就近办理，极大方便了群众办事。加快专利权质押登记和专利实施许可合同备案办理，办理时限从7个工作日缩短为3个工作日。开通“专利申请优先审查推荐业务电子平台”，实现推荐业务“全程网上办”，办理期限由10个工作日缩短为不超过2个工作日。优化专利费用减缴备案流程，八成的备案材料可通过邮寄件方式提交，创新主体足不出户即可完成备案事项。</w:t>
      </w:r>
    </w:p>
    <w:p w14:paraId="6C449A53">
      <w:pPr>
        <w:widowControl/>
        <w:shd w:val="clear" w:color="auto" w:fill="FFFFFF"/>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三、政府信息主动公开情况</w:t>
      </w:r>
    </w:p>
    <w:p w14:paraId="52EB45B8">
      <w:pPr>
        <w:widowControl/>
        <w:shd w:val="clear" w:color="auto" w:fill="FFFFFF"/>
        <w:spacing w:line="560" w:lineRule="exact"/>
        <w:rPr>
          <w:rFonts w:ascii="楷体_GB2312" w:hAnsi="Calibri" w:eastAsia="楷体_GB2312" w:cs="宋体"/>
          <w:color w:val="000000"/>
          <w:kern w:val="0"/>
          <w:sz w:val="32"/>
          <w:szCs w:val="32"/>
        </w:rPr>
      </w:pPr>
      <w:r>
        <w:rPr>
          <w:rFonts w:hint="eastAsia" w:ascii="Arial" w:hAnsi="Arial" w:eastAsia="楷体_GB2312" w:cs="Arial"/>
          <w:color w:val="000000"/>
          <w:kern w:val="0"/>
          <w:sz w:val="32"/>
          <w:szCs w:val="32"/>
        </w:rPr>
        <w:t> </w:t>
      </w:r>
      <w:r>
        <w:rPr>
          <w:rFonts w:hint="eastAsia" w:ascii="楷体_GB2312" w:hAnsi="仿宋" w:eastAsia="楷体_GB2312" w:cs="宋体"/>
          <w:color w:val="000000"/>
          <w:kern w:val="0"/>
          <w:sz w:val="32"/>
          <w:szCs w:val="32"/>
        </w:rPr>
        <w:t>　　（一）公开情况。</w:t>
      </w:r>
    </w:p>
    <w:p w14:paraId="74D0F6DC">
      <w:pPr>
        <w:widowControl/>
        <w:shd w:val="clear" w:color="auto" w:fill="FFFFFF"/>
        <w:spacing w:line="560" w:lineRule="exact"/>
        <w:rPr>
          <w:rFonts w:ascii="仿宋_GB2312" w:hAnsi="仿宋" w:eastAsia="仿宋_GB2312" w:cs="宋体"/>
          <w:color w:val="000000"/>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w:t>
      </w:r>
      <w:r>
        <w:rPr>
          <w:rFonts w:hint="eastAsia" w:ascii="仿宋_GB2312" w:hAnsi="宋体" w:eastAsia="仿宋_GB2312" w:cs="宋体"/>
          <w:color w:val="000000"/>
          <w:kern w:val="0"/>
          <w:sz w:val="32"/>
          <w:szCs w:val="32"/>
        </w:rPr>
        <w:t>2018</w:t>
      </w:r>
      <w:r>
        <w:rPr>
          <w:rFonts w:hint="eastAsia" w:ascii="仿宋_GB2312" w:hAnsi="仿宋" w:eastAsia="仿宋_GB2312" w:cs="宋体"/>
          <w:color w:val="000000"/>
          <w:kern w:val="0"/>
          <w:sz w:val="32"/>
          <w:szCs w:val="32"/>
        </w:rPr>
        <w:t>年，我局通过门户网站政府信息公开专栏主动公开政府信息</w:t>
      </w:r>
      <w:r>
        <w:rPr>
          <w:rFonts w:hint="eastAsia" w:ascii="仿宋_GB2312" w:hAnsi="宋体" w:eastAsia="仿宋_GB2312" w:cs="宋体"/>
          <w:color w:val="000000"/>
          <w:kern w:val="0"/>
          <w:sz w:val="32"/>
          <w:szCs w:val="32"/>
        </w:rPr>
        <w:t>467</w:t>
      </w:r>
      <w:r>
        <w:rPr>
          <w:rFonts w:hint="eastAsia" w:ascii="仿宋_GB2312" w:hAnsi="仿宋" w:eastAsia="仿宋_GB2312" w:cs="宋体"/>
          <w:color w:val="000000"/>
          <w:kern w:val="0"/>
          <w:sz w:val="32"/>
          <w:szCs w:val="32"/>
        </w:rPr>
        <w:t>条，全文电子化率达</w:t>
      </w:r>
      <w:r>
        <w:rPr>
          <w:rFonts w:hint="eastAsia" w:ascii="仿宋_GB2312" w:hAnsi="宋体" w:eastAsia="仿宋_GB2312" w:cs="宋体"/>
          <w:color w:val="000000"/>
          <w:kern w:val="0"/>
          <w:sz w:val="32"/>
          <w:szCs w:val="32"/>
        </w:rPr>
        <w:t>100%</w:t>
      </w:r>
      <w:r>
        <w:rPr>
          <w:rFonts w:hint="eastAsia" w:ascii="仿宋_GB2312" w:hAnsi="仿宋" w:eastAsia="仿宋_GB2312" w:cs="宋体"/>
          <w:color w:val="000000"/>
          <w:kern w:val="0"/>
          <w:sz w:val="32"/>
          <w:szCs w:val="32"/>
        </w:rPr>
        <w:t>。同时，我局还通过多种渠道和方式公开政府信息，包括政务微博公开政府信息2970条，政务微信公开政府信息661条，</w:t>
      </w:r>
      <w:r>
        <w:rPr>
          <w:rFonts w:hint="eastAsia" w:ascii="仿宋_GB2312" w:eastAsia="仿宋_GB2312" w:hAnsiTheme="minorEastAsia"/>
          <w:sz w:val="32"/>
          <w:szCs w:val="32"/>
        </w:rPr>
        <w:t>今日头条号等</w:t>
      </w:r>
      <w:r>
        <w:rPr>
          <w:rFonts w:hint="eastAsia" w:ascii="仿宋_GB2312" w:hAnsi="仿宋" w:eastAsia="仿宋_GB2312" w:cs="宋体"/>
          <w:color w:val="000000"/>
          <w:kern w:val="0"/>
          <w:sz w:val="32"/>
          <w:szCs w:val="32"/>
        </w:rPr>
        <w:t>其他方式公开政府信息166条。我局及时公布全市知识产权工作信息，解读最新政策措施，并积极回应社会关切，全年通过微博微信等新媒体回应公众关注的知识产权热点难点问题15次，在“4·26”世界知识产权日期间举办新闻发布会等系列活动，为促进我市知识产权创造、运用、保护和管理起到了积极作用。</w:t>
      </w:r>
    </w:p>
    <w:p w14:paraId="176E2845">
      <w:pPr>
        <w:widowControl/>
        <w:shd w:val="clear" w:color="auto" w:fill="FFFFFF"/>
        <w:spacing w:line="560" w:lineRule="exact"/>
        <w:rPr>
          <w:rFonts w:ascii="楷体_GB2312" w:hAnsi="仿宋" w:eastAsia="楷体_GB2312" w:cs="宋体"/>
          <w:color w:val="000000"/>
          <w:kern w:val="0"/>
          <w:sz w:val="32"/>
          <w:szCs w:val="32"/>
        </w:rPr>
      </w:pPr>
      <w:r>
        <w:rPr>
          <w:rFonts w:hint="eastAsia" w:ascii="Arial" w:hAnsi="Arial" w:eastAsia="楷体_GB2312" w:cs="Arial"/>
          <w:color w:val="000000"/>
          <w:kern w:val="0"/>
          <w:sz w:val="32"/>
          <w:szCs w:val="32"/>
        </w:rPr>
        <w:t> </w:t>
      </w:r>
      <w:r>
        <w:rPr>
          <w:rFonts w:hint="eastAsia" w:ascii="楷体_GB2312" w:hAnsi="仿宋" w:eastAsia="楷体_GB2312" w:cs="宋体"/>
          <w:color w:val="000000"/>
          <w:kern w:val="0"/>
          <w:sz w:val="32"/>
          <w:szCs w:val="32"/>
        </w:rPr>
        <w:t>　　（二）公开形式。</w:t>
      </w:r>
    </w:p>
    <w:p w14:paraId="11550D74">
      <w:pPr>
        <w:widowControl/>
        <w:shd w:val="clear" w:color="auto" w:fill="FFFFFF"/>
        <w:spacing w:line="560" w:lineRule="exact"/>
        <w:rPr>
          <w:rFonts w:ascii="仿宋_GB2312" w:hAnsi="仿宋" w:eastAsia="仿宋_GB2312" w:cs="宋体"/>
          <w:color w:val="000000"/>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为方便公众了解信息，我局通过政府门户网站、政府信息公开栏、报纸等传统媒体，微博、微信公众号等新兴媒体以及APP客户端等应用软件开展了多种形式的政府信息公开工作。我</w:t>
      </w:r>
      <w:r>
        <w:rPr>
          <w:rFonts w:hint="eastAsia" w:ascii="仿宋_GB2312" w:hAnsi="仿宋_GB2312" w:eastAsia="仿宋_GB2312" w:cs="仿宋_GB2312"/>
          <w:sz w:val="32"/>
          <w:szCs w:val="32"/>
        </w:rPr>
        <w:t>局门户网站改版上线运行后，</w:t>
      </w:r>
      <w:r>
        <w:rPr>
          <w:rFonts w:hint="eastAsia" w:ascii="仿宋_GB2312" w:hAnsi="仿宋" w:eastAsia="仿宋_GB2312" w:cs="宋体"/>
          <w:color w:val="000000"/>
          <w:kern w:val="0"/>
          <w:sz w:val="32"/>
          <w:szCs w:val="32"/>
        </w:rPr>
        <w:t>通过“政府信息公开”专栏及时发布图文信息；在“</w:t>
      </w:r>
      <w:r>
        <w:rPr>
          <w:rFonts w:hint="eastAsia" w:ascii="仿宋_GB2312" w:hAnsi="宋体" w:eastAsia="仿宋_GB2312" w:cs="宋体"/>
          <w:color w:val="000000"/>
          <w:kern w:val="0"/>
          <w:sz w:val="32"/>
          <w:szCs w:val="32"/>
        </w:rPr>
        <w:t>4.26</w:t>
      </w:r>
      <w:r>
        <w:rPr>
          <w:rFonts w:hint="eastAsia" w:ascii="仿宋_GB2312" w:hAnsi="仿宋" w:eastAsia="仿宋_GB2312" w:cs="宋体"/>
          <w:color w:val="000000"/>
          <w:kern w:val="0"/>
          <w:sz w:val="32"/>
          <w:szCs w:val="32"/>
        </w:rPr>
        <w:t>”世界知识产权日期间，组织召开“全市知识产权工作会” 和“</w:t>
      </w:r>
      <w:r>
        <w:rPr>
          <w:rFonts w:hint="eastAsia" w:ascii="仿宋_GB2312" w:eastAsia="仿宋_GB2312"/>
          <w:sz w:val="32"/>
          <w:szCs w:val="32"/>
        </w:rPr>
        <w:t>北京知识产权保护状</w:t>
      </w:r>
      <w:r>
        <w:rPr>
          <w:rFonts w:hint="eastAsia" w:ascii="仿宋_GB2312" w:hAnsi="仿宋" w:eastAsia="仿宋_GB2312" w:cs="宋体"/>
          <w:color w:val="000000"/>
          <w:kern w:val="0"/>
          <w:sz w:val="32"/>
          <w:szCs w:val="32"/>
        </w:rPr>
        <w:t>况新闻发布会”，发布权威知识产权统计数据和政策解读；</w:t>
      </w:r>
      <w:r>
        <w:rPr>
          <w:rFonts w:ascii="仿宋_GB2312" w:hAnsi="仿宋" w:eastAsia="仿宋_GB2312" w:cs="宋体"/>
          <w:color w:val="000000"/>
          <w:kern w:val="0"/>
          <w:sz w:val="32"/>
          <w:szCs w:val="32"/>
        </w:rPr>
        <w:t>联合冬奥组委、</w:t>
      </w:r>
      <w:r>
        <w:rPr>
          <w:rFonts w:hint="eastAsia" w:ascii="仿宋_GB2312" w:hAnsi="仿宋" w:eastAsia="仿宋_GB2312" w:cs="宋体"/>
          <w:color w:val="000000"/>
          <w:kern w:val="0"/>
          <w:sz w:val="32"/>
          <w:szCs w:val="32"/>
        </w:rPr>
        <w:t>北京世园局等部门在奥森公园开展主题为“加强知识产权保护，营造冬奥会世园会良好环境”知识产权户外咨询活动，加大知识产权工作的宣传力度，提升行业影响力；利用“中国专利周”组织宣传活动，向社会公众广泛宣传我市知识产权政策法规，为市民答疑解惑，营造尊重知识、鼓励创新的社会氛围。</w:t>
      </w:r>
    </w:p>
    <w:p w14:paraId="03F33394">
      <w:pPr>
        <w:widowControl/>
        <w:shd w:val="clear" w:color="auto" w:fill="FFFFFF"/>
        <w:spacing w:line="560" w:lineRule="exact"/>
        <w:rPr>
          <w:rFonts w:ascii="黑体" w:hAnsi="黑体" w:eastAsia="黑体" w:cs="宋体"/>
          <w:color w:val="000000"/>
          <w:kern w:val="0"/>
          <w:sz w:val="32"/>
          <w:szCs w:val="32"/>
        </w:rPr>
      </w:pPr>
      <w:r>
        <w:rPr>
          <w:rFonts w:hint="eastAsia" w:ascii="Arial" w:hAnsi="Arial" w:eastAsia="黑体" w:cs="Arial"/>
          <w:color w:val="000000"/>
          <w:kern w:val="0"/>
          <w:sz w:val="32"/>
          <w:szCs w:val="32"/>
        </w:rPr>
        <w:t> </w:t>
      </w:r>
      <w:r>
        <w:rPr>
          <w:rFonts w:hint="eastAsia" w:ascii="黑体" w:hAnsi="黑体" w:eastAsia="黑体" w:cs="宋体"/>
          <w:color w:val="000000"/>
          <w:kern w:val="0"/>
          <w:sz w:val="32"/>
          <w:szCs w:val="32"/>
        </w:rPr>
        <w:t>　　四、政府信息依申请公开情况</w:t>
      </w:r>
    </w:p>
    <w:p w14:paraId="3C7BB394">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我局</w:t>
      </w:r>
      <w:r>
        <w:rPr>
          <w:rFonts w:hint="eastAsia" w:ascii="仿宋_GB2312" w:eastAsia="仿宋_GB2312"/>
          <w:sz w:val="32"/>
          <w:szCs w:val="32"/>
        </w:rPr>
        <w:t>进一步规范依申请公开工作的开展，确保信函、网络申请受理渠道和咨询电话畅通，定期更新《政府信息公开指南》内容，确保法定内容的完备性。</w:t>
      </w:r>
      <w:r>
        <w:rPr>
          <w:rFonts w:hint="eastAsia" w:ascii="仿宋_GB2312" w:hAnsi="仿宋" w:eastAsia="仿宋_GB2312" w:cs="宋体"/>
          <w:kern w:val="0"/>
          <w:sz w:val="32"/>
          <w:szCs w:val="32"/>
        </w:rPr>
        <w:t>2018年，我局共受理依申请公开事项10件，其中，通过信函申请2件，通过网络申请8件。我局按照规范流程和规定时限，向申请人进行了答复，并出具政府信息告知书，其中，按时办结9件，申请延期办结1件。在已答复的10件申请中，属于已主动公开范围的1件，同意公开答复的8件，告知通过其他途径办理的1件。在依申请公开工作中，我局注重加强与申请人的沟通交流，做好解释和答复工作。未发生因政府信息公开产生的举报投诉和行政诉讼情况。</w:t>
      </w:r>
    </w:p>
    <w:p w14:paraId="618F9928">
      <w:pPr>
        <w:widowControl/>
        <w:shd w:val="clear" w:color="auto" w:fill="FFFFFF"/>
        <w:spacing w:line="560" w:lineRule="exact"/>
        <w:rPr>
          <w:rFonts w:ascii="黑体" w:hAnsi="黑体" w:eastAsia="黑体" w:cs="宋体"/>
          <w:color w:val="000000"/>
          <w:kern w:val="0"/>
          <w:sz w:val="32"/>
          <w:szCs w:val="32"/>
        </w:rPr>
      </w:pPr>
      <w:r>
        <w:rPr>
          <w:rFonts w:hint="eastAsia" w:ascii="Arial" w:hAnsi="Arial" w:eastAsia="黑体" w:cs="Arial"/>
          <w:color w:val="000000"/>
          <w:kern w:val="0"/>
          <w:sz w:val="32"/>
          <w:szCs w:val="32"/>
        </w:rPr>
        <w:t> </w:t>
      </w:r>
      <w:r>
        <w:rPr>
          <w:rFonts w:hint="eastAsia" w:ascii="黑体" w:hAnsi="黑体" w:eastAsia="黑体" w:cs="宋体"/>
          <w:color w:val="000000"/>
          <w:kern w:val="0"/>
          <w:sz w:val="32"/>
          <w:szCs w:val="32"/>
        </w:rPr>
        <w:t>　　五、人员和收支情况</w:t>
      </w:r>
    </w:p>
    <w:p w14:paraId="51EC3F11">
      <w:pPr>
        <w:widowControl/>
        <w:shd w:val="clear" w:color="auto" w:fill="FFFFFF"/>
        <w:spacing w:line="560" w:lineRule="exact"/>
        <w:ind w:firstLine="640" w:firstLineChars="200"/>
        <w:rPr>
          <w:rFonts w:ascii="楷体_GB2312" w:hAnsi="黑体" w:eastAsia="楷体_GB2312" w:cs="宋体"/>
          <w:color w:val="000000"/>
          <w:kern w:val="0"/>
          <w:sz w:val="32"/>
          <w:szCs w:val="32"/>
        </w:rPr>
      </w:pPr>
      <w:r>
        <w:rPr>
          <w:rFonts w:hint="eastAsia" w:ascii="楷体_GB2312" w:hAnsi="仿宋" w:eastAsia="楷体_GB2312" w:cs="宋体"/>
          <w:color w:val="000000"/>
          <w:kern w:val="0"/>
          <w:sz w:val="32"/>
          <w:szCs w:val="32"/>
        </w:rPr>
        <w:t>（一）工作人员情况。</w:t>
      </w:r>
    </w:p>
    <w:p w14:paraId="0FAE071A">
      <w:pPr>
        <w:widowControl/>
        <w:shd w:val="clear" w:color="auto" w:fill="FFFFFF"/>
        <w:spacing w:line="560" w:lineRule="exact"/>
        <w:rPr>
          <w:rFonts w:ascii="仿宋_GB2312" w:hAnsi="Calibri" w:eastAsia="仿宋_GB2312" w:cs="宋体"/>
          <w:color w:val="000000"/>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我局从事政府信息公开工作兼职人员</w:t>
      </w:r>
      <w:r>
        <w:rPr>
          <w:rFonts w:hint="eastAsia" w:ascii="仿宋_GB2312" w:hAnsi="宋体" w:eastAsia="仿宋_GB2312" w:cs="宋体"/>
          <w:color w:val="000000"/>
          <w:kern w:val="0"/>
          <w:sz w:val="32"/>
          <w:szCs w:val="32"/>
        </w:rPr>
        <w:t>2</w:t>
      </w:r>
      <w:r>
        <w:rPr>
          <w:rFonts w:hint="eastAsia" w:ascii="仿宋_GB2312" w:hAnsi="仿宋" w:eastAsia="仿宋_GB2312" w:cs="宋体"/>
          <w:color w:val="000000"/>
          <w:kern w:val="0"/>
          <w:sz w:val="32"/>
          <w:szCs w:val="32"/>
        </w:rPr>
        <w:t>人。</w:t>
      </w:r>
    </w:p>
    <w:p w14:paraId="2B0D3CF1">
      <w:pPr>
        <w:widowControl/>
        <w:shd w:val="clear" w:color="auto" w:fill="FFFFFF"/>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（二）依申请公开政府信息收费情况。</w:t>
      </w:r>
    </w:p>
    <w:p w14:paraId="2174B172">
      <w:pPr>
        <w:widowControl/>
        <w:shd w:val="clear" w:color="auto" w:fill="FFFFFF"/>
        <w:spacing w:line="560" w:lineRule="exact"/>
        <w:rPr>
          <w:rFonts w:ascii="仿宋_GB2312" w:hAnsi="Calibri" w:eastAsia="仿宋_GB2312" w:cs="宋体"/>
          <w:color w:val="000000"/>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w:t>
      </w:r>
      <w:r>
        <w:rPr>
          <w:rFonts w:hint="eastAsia" w:ascii="仿宋_GB2312" w:hAnsi="宋体" w:eastAsia="仿宋_GB2312" w:cs="宋体"/>
          <w:color w:val="000000"/>
          <w:kern w:val="0"/>
          <w:sz w:val="32"/>
          <w:szCs w:val="32"/>
        </w:rPr>
        <w:t>2018</w:t>
      </w:r>
      <w:r>
        <w:rPr>
          <w:rFonts w:hint="eastAsia" w:ascii="仿宋_GB2312" w:hAnsi="仿宋" w:eastAsia="仿宋_GB2312" w:cs="宋体"/>
          <w:color w:val="000000"/>
          <w:kern w:val="0"/>
          <w:sz w:val="32"/>
          <w:szCs w:val="32"/>
        </w:rPr>
        <w:t>年我局未发生依申请公开政府信息收费情况。</w:t>
      </w:r>
    </w:p>
    <w:p w14:paraId="5F63304A">
      <w:pPr>
        <w:widowControl/>
        <w:shd w:val="clear" w:color="auto" w:fill="FFFFFF"/>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（三）依申请公开政府信息减免收费情况。</w:t>
      </w:r>
    </w:p>
    <w:p w14:paraId="130164A0">
      <w:pPr>
        <w:widowControl/>
        <w:shd w:val="clear" w:color="auto" w:fill="FFFFFF"/>
        <w:spacing w:line="560" w:lineRule="exact"/>
        <w:rPr>
          <w:rFonts w:ascii="仿宋_GB2312" w:hAnsi="Calibri" w:eastAsia="仿宋_GB2312" w:cs="宋体"/>
          <w:color w:val="000000"/>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w:t>
      </w:r>
      <w:r>
        <w:rPr>
          <w:rFonts w:hint="eastAsia" w:ascii="仿宋_GB2312" w:hAnsi="宋体" w:eastAsia="仿宋_GB2312" w:cs="宋体"/>
          <w:color w:val="000000"/>
          <w:kern w:val="0"/>
          <w:sz w:val="32"/>
          <w:szCs w:val="32"/>
        </w:rPr>
        <w:t>2018</w:t>
      </w:r>
      <w:r>
        <w:rPr>
          <w:rFonts w:hint="eastAsia" w:ascii="仿宋_GB2312" w:hAnsi="仿宋" w:eastAsia="仿宋_GB2312" w:cs="宋体"/>
          <w:color w:val="000000"/>
          <w:kern w:val="0"/>
          <w:sz w:val="32"/>
          <w:szCs w:val="32"/>
        </w:rPr>
        <w:t>年我局未发生依申请公开政府信息减免收费情况。</w:t>
      </w:r>
    </w:p>
    <w:p w14:paraId="791082E5">
      <w:pPr>
        <w:widowControl/>
        <w:shd w:val="clear" w:color="auto" w:fill="FFFFFF"/>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（四）与诉讼有关的费用支出。</w:t>
      </w:r>
    </w:p>
    <w:p w14:paraId="50887CF2">
      <w:pPr>
        <w:widowControl/>
        <w:shd w:val="clear" w:color="auto" w:fill="FFFFFF"/>
        <w:spacing w:line="560" w:lineRule="exact"/>
        <w:rPr>
          <w:rFonts w:ascii="仿宋_GB2312" w:hAnsi="Calibri" w:eastAsia="仿宋_GB2312" w:cs="宋体"/>
          <w:color w:val="000000"/>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w:t>
      </w:r>
      <w:r>
        <w:rPr>
          <w:rFonts w:hint="eastAsia" w:ascii="仿宋_GB2312" w:hAnsi="宋体" w:eastAsia="仿宋_GB2312" w:cs="宋体"/>
          <w:color w:val="000000"/>
          <w:kern w:val="0"/>
          <w:sz w:val="32"/>
          <w:szCs w:val="32"/>
        </w:rPr>
        <w:t>2018</w:t>
      </w:r>
      <w:r>
        <w:rPr>
          <w:rFonts w:hint="eastAsia" w:ascii="仿宋_GB2312" w:hAnsi="仿宋" w:eastAsia="仿宋_GB2312" w:cs="宋体"/>
          <w:color w:val="000000"/>
          <w:kern w:val="0"/>
          <w:sz w:val="32"/>
          <w:szCs w:val="32"/>
        </w:rPr>
        <w:t>年我局未发生与诉讼有关的费用。</w:t>
      </w:r>
    </w:p>
    <w:p w14:paraId="156E2F7A">
      <w:pPr>
        <w:widowControl/>
        <w:shd w:val="clear" w:color="auto" w:fill="FFFFFF"/>
        <w:spacing w:line="560" w:lineRule="exact"/>
        <w:rPr>
          <w:rFonts w:ascii="Arial" w:hAnsi="Arial" w:eastAsia="黑体" w:cs="Arial"/>
          <w:color w:val="000000"/>
          <w:kern w:val="0"/>
          <w:sz w:val="32"/>
          <w:szCs w:val="32"/>
        </w:rPr>
      </w:pPr>
      <w:r>
        <w:rPr>
          <w:rFonts w:hint="eastAsia" w:ascii="Arial" w:hAnsi="Arial" w:eastAsia="黑体" w:cs="Arial"/>
          <w:color w:val="000000"/>
          <w:kern w:val="0"/>
          <w:sz w:val="32"/>
          <w:szCs w:val="32"/>
        </w:rPr>
        <w:t>     六、行政复议和行政诉讼情况</w:t>
      </w:r>
    </w:p>
    <w:p w14:paraId="15994449">
      <w:pPr>
        <w:widowControl/>
        <w:shd w:val="clear" w:color="auto" w:fill="FFFFFF"/>
        <w:spacing w:line="560" w:lineRule="exact"/>
        <w:rPr>
          <w:rFonts w:ascii="仿宋_GB2312" w:hAnsi="Calibri" w:eastAsia="仿宋_GB2312" w:cs="宋体"/>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w:t>
      </w:r>
      <w:r>
        <w:rPr>
          <w:rFonts w:hint="eastAsia" w:ascii="仿宋_GB2312" w:hAnsi="宋体" w:eastAsia="仿宋_GB2312" w:cs="宋体"/>
          <w:kern w:val="0"/>
          <w:sz w:val="32"/>
          <w:szCs w:val="32"/>
        </w:rPr>
        <w:t>2018</w:t>
      </w:r>
      <w:r>
        <w:rPr>
          <w:rFonts w:hint="eastAsia" w:ascii="仿宋_GB2312" w:hAnsi="仿宋" w:eastAsia="仿宋_GB2312" w:cs="宋体"/>
          <w:kern w:val="0"/>
          <w:sz w:val="32"/>
          <w:szCs w:val="32"/>
        </w:rPr>
        <w:t>年我局因政府信息公开发生1件行政复议案件，并被依法纠错。因政府信息公开未发生行政诉讼案件。经过此次行政复议案件后，我局认真梳理工作中存在的问题，积极整改，严格</w:t>
      </w:r>
      <w:r>
        <w:rPr>
          <w:rFonts w:hint="eastAsia" w:ascii="仿宋_GB2312" w:eastAsia="仿宋_GB2312"/>
          <w:sz w:val="32"/>
          <w:szCs w:val="32"/>
        </w:rPr>
        <w:t>按照相关要求做到答复时限的合法性、答复形式和答复内容的规范性，有效提高了政府信息公开工作的质量和效果。</w:t>
      </w:r>
    </w:p>
    <w:p w14:paraId="347F7641">
      <w:pPr>
        <w:widowControl/>
        <w:shd w:val="clear" w:color="auto" w:fill="FFFFFF"/>
        <w:spacing w:line="560" w:lineRule="exact"/>
        <w:rPr>
          <w:rFonts w:ascii="黑体" w:hAnsi="黑体" w:eastAsia="黑体" w:cs="宋体"/>
          <w:color w:val="000000"/>
          <w:kern w:val="0"/>
          <w:sz w:val="32"/>
          <w:szCs w:val="32"/>
        </w:rPr>
      </w:pPr>
      <w:r>
        <w:rPr>
          <w:rFonts w:hint="eastAsia" w:ascii="Arial" w:hAnsi="Arial" w:eastAsia="黑体" w:cs="Arial"/>
          <w:color w:val="000000"/>
          <w:kern w:val="0"/>
          <w:sz w:val="32"/>
          <w:szCs w:val="32"/>
        </w:rPr>
        <w:t> </w:t>
      </w:r>
      <w:r>
        <w:rPr>
          <w:rFonts w:hint="eastAsia" w:ascii="黑体" w:hAnsi="黑体" w:eastAsia="黑体" w:cs="宋体"/>
          <w:color w:val="000000"/>
          <w:kern w:val="0"/>
          <w:sz w:val="32"/>
          <w:szCs w:val="32"/>
        </w:rPr>
        <w:t>　　七、主要问题和改进措施</w:t>
      </w:r>
    </w:p>
    <w:p w14:paraId="69C7E9BB">
      <w:pPr>
        <w:widowControl/>
        <w:shd w:val="clear" w:color="auto" w:fill="FFFFFF"/>
        <w:spacing w:line="560" w:lineRule="exact"/>
        <w:rPr>
          <w:rFonts w:ascii="仿宋_GB2312" w:hAnsi="仿宋" w:eastAsia="仿宋_GB2312" w:cs="宋体"/>
          <w:kern w:val="0"/>
          <w:sz w:val="32"/>
          <w:szCs w:val="32"/>
        </w:rPr>
      </w:pPr>
      <w:r>
        <w:rPr>
          <w:rFonts w:hint="eastAsia" w:ascii="Arial" w:hAnsi="Arial" w:eastAsia="仿宋_GB2312" w:cs="Arial"/>
          <w:color w:val="000000"/>
          <w:kern w:val="0"/>
          <w:sz w:val="32"/>
          <w:szCs w:val="32"/>
        </w:rPr>
        <w:t> </w:t>
      </w:r>
      <w:r>
        <w:rPr>
          <w:rFonts w:hint="eastAsia" w:ascii="仿宋_GB2312" w:hAnsi="仿宋" w:eastAsia="仿宋_GB2312" w:cs="宋体"/>
          <w:color w:val="000000"/>
          <w:kern w:val="0"/>
          <w:sz w:val="32"/>
          <w:szCs w:val="32"/>
        </w:rPr>
        <w:t>　　</w:t>
      </w:r>
      <w:r>
        <w:rPr>
          <w:rFonts w:hint="eastAsia" w:ascii="仿宋_GB2312" w:hAnsi="仿宋" w:eastAsia="仿宋_GB2312" w:cs="宋体"/>
          <w:kern w:val="0"/>
          <w:sz w:val="32"/>
          <w:szCs w:val="32"/>
        </w:rPr>
        <w:t>2018年，我局政府信息公开工作稳步推进，取得了一定的成效，但也存在着问题：一是政府信息和政务公开工作人员力量配备不足，工作人员的业务能力有待提高；二是政府信息公开的效果有待进一步提升。下一步，我局将结合工作实际，加大政府信息和政务公开工作人员力量，加强业务培训的针对性和系统性，打造一支素质过硬的政府信息公开工作队伍，提高我局政务公开工作整体能力和水平；同时，我局将进一步提高政府信息公开工作的专业化水平，不断加强对知识产权领域重点热点难点问题的研究，进一步提高政府信息公开的时效性、准确性和规范性，更好地为创新主体和社会公众服务，促进我市知识产权事业的健康快速发展。</w:t>
      </w:r>
    </w:p>
    <w:p w14:paraId="2D84F525">
      <w:pPr>
        <w:widowControl/>
        <w:shd w:val="clear" w:color="auto" w:fill="FFFFFF"/>
        <w:spacing w:line="560" w:lineRule="exact"/>
        <w:rPr>
          <w:rFonts w:ascii="仿宋_GB2312" w:hAnsi="Calibri" w:eastAsia="仿宋_GB2312" w:cs="宋体"/>
          <w:kern w:val="0"/>
          <w:sz w:val="32"/>
          <w:szCs w:val="32"/>
        </w:rPr>
      </w:pPr>
    </w:p>
    <w:tbl>
      <w:tblPr>
        <w:tblStyle w:val="5"/>
        <w:tblW w:w="9555" w:type="dxa"/>
        <w:jc w:val="center"/>
        <w:tblLayout w:type="autofit"/>
        <w:tblCellMar>
          <w:top w:w="0" w:type="dxa"/>
          <w:left w:w="108" w:type="dxa"/>
          <w:bottom w:w="0" w:type="dxa"/>
          <w:right w:w="108" w:type="dxa"/>
        </w:tblCellMar>
      </w:tblPr>
      <w:tblGrid>
        <w:gridCol w:w="7755"/>
        <w:gridCol w:w="720"/>
        <w:gridCol w:w="1080"/>
      </w:tblGrid>
      <w:tr w14:paraId="242A96D5">
        <w:trPr>
          <w:trHeight w:val="540" w:hRule="atLeast"/>
          <w:jc w:val="center"/>
        </w:trPr>
        <w:tc>
          <w:tcPr>
            <w:tcW w:w="9555" w:type="dxa"/>
            <w:gridSpan w:val="3"/>
            <w:tcBorders>
              <w:top w:val="nil"/>
              <w:left w:val="nil"/>
              <w:bottom w:val="nil"/>
              <w:right w:val="nil"/>
            </w:tcBorders>
            <w:shd w:val="clear" w:color="FFFFFF" w:fill="auto"/>
            <w:noWrap/>
            <w:vAlign w:val="center"/>
          </w:tcPr>
          <w:p w14:paraId="6C0649D4">
            <w:pPr>
              <w:widowControl/>
              <w:spacing w:line="560" w:lineRule="atLeast"/>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政府信息公开情况统计表</w:t>
            </w:r>
            <w:r>
              <w:rPr>
                <w:rFonts w:hint="eastAsia" w:ascii="楷体_GB2312" w:hAnsi="宋体" w:eastAsia="楷体_GB2312" w:cs="宋体"/>
                <w:kern w:val="0"/>
                <w:sz w:val="32"/>
                <w:szCs w:val="32"/>
              </w:rPr>
              <w:t>（2018年度）</w:t>
            </w:r>
          </w:p>
        </w:tc>
      </w:tr>
      <w:tr w14:paraId="6C35B186">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70147B84">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14:paraId="761EC69F">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44413E36">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2ECA15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048FCD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508D11F4">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3EFA034F">
            <w:pPr>
              <w:widowControl/>
              <w:jc w:val="center"/>
              <w:rPr>
                <w:rFonts w:ascii="宋体" w:hAnsi="宋体" w:cs="宋体"/>
                <w:color w:val="000000"/>
                <w:kern w:val="0"/>
                <w:sz w:val="24"/>
              </w:rPr>
            </w:pPr>
          </w:p>
        </w:tc>
      </w:tr>
      <w:tr w14:paraId="2B776639">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722E473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7080B7E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977219B">
            <w:pPr>
              <w:widowControl/>
              <w:jc w:val="center"/>
              <w:rPr>
                <w:rFonts w:ascii="仿宋_GB2312" w:hAnsi="宋体" w:eastAsia="仿宋_GB2312" w:cs="宋体"/>
                <w:kern w:val="0"/>
                <w:sz w:val="24"/>
              </w:rPr>
            </w:pPr>
            <w:r>
              <w:rPr>
                <w:rFonts w:hint="eastAsia" w:ascii="仿宋_GB2312" w:hAnsi="宋体" w:eastAsia="仿宋_GB2312" w:cs="宋体"/>
                <w:kern w:val="0"/>
                <w:sz w:val="24"/>
              </w:rPr>
              <w:t>566</w:t>
            </w:r>
          </w:p>
        </w:tc>
      </w:tr>
      <w:tr w14:paraId="506A7EF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9FDC46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14:paraId="305566A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A62A04D">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14EACA6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14:paraId="027363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14:paraId="460694E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B5111AA">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73653FDA">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14:paraId="1496C40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14:paraId="26840D7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756F453">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79DEECEF">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5FC82BE">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bookmarkStart w:id="1" w:name="_GoBack"/>
            <w:bookmarkEnd w:id="1"/>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6904665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FA71E34">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6AD7E296">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B160FF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78C9C8B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3B1B577">
            <w:pPr>
              <w:jc w:val="center"/>
            </w:pPr>
            <w:r>
              <w:rPr>
                <w:rFonts w:hint="eastAsia" w:ascii="仿宋_GB2312" w:hAnsi="宋体" w:eastAsia="仿宋_GB2312" w:cs="宋体"/>
                <w:kern w:val="0"/>
                <w:sz w:val="24"/>
              </w:rPr>
              <w:t>0</w:t>
            </w:r>
          </w:p>
        </w:tc>
      </w:tr>
      <w:tr w14:paraId="005EEB8D">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ECCDC4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66EC6C2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E169DDC">
            <w:pPr>
              <w:jc w:val="center"/>
            </w:pPr>
            <w:r>
              <w:rPr>
                <w:rFonts w:hint="eastAsia" w:ascii="仿宋_GB2312" w:hAnsi="宋体" w:eastAsia="仿宋_GB2312" w:cs="宋体"/>
                <w:kern w:val="0"/>
                <w:sz w:val="24"/>
              </w:rPr>
              <w:t>0</w:t>
            </w:r>
          </w:p>
        </w:tc>
      </w:tr>
      <w:tr w14:paraId="0C43C636">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56A5402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4B74E50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D67994E">
            <w:pPr>
              <w:jc w:val="center"/>
            </w:pPr>
            <w:r>
              <w:rPr>
                <w:rFonts w:hint="eastAsia" w:ascii="仿宋_GB2312" w:hAnsi="宋体" w:eastAsia="仿宋_GB2312" w:cs="宋体"/>
                <w:kern w:val="0"/>
                <w:sz w:val="24"/>
              </w:rPr>
              <w:t>0</w:t>
            </w:r>
          </w:p>
        </w:tc>
      </w:tr>
      <w:tr w14:paraId="6D2D16E9">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FDF804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3A2496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C3DE0ED">
            <w:pPr>
              <w:jc w:val="center"/>
            </w:pPr>
            <w:r>
              <w:rPr>
                <w:rFonts w:hint="eastAsia" w:ascii="仿宋_GB2312" w:hAnsi="宋体" w:eastAsia="仿宋_GB2312" w:cs="宋体"/>
                <w:kern w:val="0"/>
                <w:sz w:val="24"/>
              </w:rPr>
              <w:t>0</w:t>
            </w:r>
          </w:p>
        </w:tc>
      </w:tr>
      <w:tr w14:paraId="374F0F13">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46B3B4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5CCF700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675602E0">
            <w:pPr>
              <w:jc w:val="center"/>
            </w:pPr>
            <w:r>
              <w:rPr>
                <w:rFonts w:hint="eastAsia" w:ascii="仿宋_GB2312" w:hAnsi="宋体" w:eastAsia="仿宋_GB2312" w:cs="宋体"/>
                <w:kern w:val="0"/>
                <w:sz w:val="24"/>
              </w:rPr>
              <w:t>0</w:t>
            </w:r>
          </w:p>
        </w:tc>
      </w:tr>
      <w:tr w14:paraId="40DFCBDA">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7D125B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0FAAAF7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E2AD73B">
            <w:pPr>
              <w:jc w:val="center"/>
            </w:pPr>
            <w:r>
              <w:rPr>
                <w:rFonts w:hint="eastAsia" w:ascii="仿宋_GB2312" w:hAnsi="宋体" w:eastAsia="仿宋_GB2312" w:cs="宋体"/>
                <w:kern w:val="0"/>
                <w:sz w:val="24"/>
              </w:rPr>
              <w:t>0</w:t>
            </w:r>
          </w:p>
        </w:tc>
      </w:tr>
      <w:tr w14:paraId="07A9D103">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6325C4A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CC6409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B0F2376">
            <w:pPr>
              <w:jc w:val="center"/>
            </w:pPr>
            <w:r>
              <w:rPr>
                <w:rFonts w:hint="eastAsia" w:ascii="仿宋_GB2312" w:hAnsi="宋体" w:eastAsia="仿宋_GB2312" w:cs="宋体"/>
                <w:kern w:val="0"/>
                <w:sz w:val="24"/>
              </w:rPr>
              <w:t>0</w:t>
            </w:r>
          </w:p>
        </w:tc>
      </w:tr>
      <w:tr w14:paraId="0206E545">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2D8CA67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14:paraId="0DB0DA6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F74EDDE">
            <w:pPr>
              <w:jc w:val="center"/>
            </w:pPr>
            <w:r>
              <w:rPr>
                <w:rFonts w:hint="eastAsia" w:ascii="仿宋_GB2312" w:hAnsi="宋体" w:eastAsia="仿宋_GB2312" w:cs="宋体"/>
                <w:kern w:val="0"/>
                <w:sz w:val="24"/>
              </w:rPr>
              <w:t>0</w:t>
            </w:r>
          </w:p>
        </w:tc>
      </w:tr>
      <w:tr w14:paraId="001EA96C">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1E371D6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14:paraId="7E05F6C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DB2A2D3">
            <w:pPr>
              <w:jc w:val="center"/>
            </w:pPr>
            <w:r>
              <w:rPr>
                <w:rFonts w:hint="eastAsia" w:ascii="仿宋_GB2312" w:hAnsi="宋体" w:eastAsia="仿宋_GB2312" w:cs="宋体"/>
                <w:kern w:val="0"/>
                <w:sz w:val="24"/>
              </w:rPr>
              <w:t>0</w:t>
            </w:r>
          </w:p>
        </w:tc>
      </w:tr>
      <w:tr w14:paraId="48EE5C36">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7EE566B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14:paraId="31AD268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7778EA54">
            <w:pPr>
              <w:jc w:val="center"/>
            </w:pPr>
            <w:r>
              <w:rPr>
                <w:rFonts w:hint="eastAsia" w:ascii="仿宋_GB2312" w:hAnsi="宋体" w:eastAsia="仿宋_GB2312" w:cs="宋体"/>
                <w:kern w:val="0"/>
                <w:sz w:val="24"/>
              </w:rPr>
              <w:t>0</w:t>
            </w:r>
          </w:p>
        </w:tc>
      </w:tr>
      <w:tr w14:paraId="5E2FFD3A">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065FD4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14:paraId="0AC9C7E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06FF55B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95E2673">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AFD9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0192B200">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10777500">
            <w:pPr>
              <w:widowControl/>
              <w:jc w:val="center"/>
              <w:rPr>
                <w:rFonts w:ascii="仿宋_GB2312" w:hAnsi="宋体" w:eastAsia="仿宋_GB2312" w:cs="宋体"/>
                <w:kern w:val="0"/>
                <w:sz w:val="24"/>
              </w:rPr>
            </w:pPr>
          </w:p>
        </w:tc>
      </w:tr>
      <w:tr w14:paraId="36569DA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22C4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A2F649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F224B9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21F98D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A122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11B77A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905A2C6">
            <w:pPr>
              <w:widowControl/>
              <w:jc w:val="center"/>
              <w:rPr>
                <w:rFonts w:ascii="仿宋_GB2312" w:hAnsi="宋体" w:eastAsia="仿宋_GB2312" w:cs="宋体"/>
                <w:kern w:val="0"/>
                <w:sz w:val="24"/>
              </w:rPr>
            </w:pPr>
            <w:r>
              <w:rPr>
                <w:rFonts w:hint="eastAsia" w:ascii="仿宋_GB2312" w:hAnsi="宋体" w:eastAsia="仿宋_GB2312" w:cs="宋体"/>
                <w:kern w:val="0"/>
                <w:sz w:val="24"/>
              </w:rPr>
              <w:t>467</w:t>
            </w:r>
          </w:p>
        </w:tc>
      </w:tr>
      <w:tr w14:paraId="7A3EFDB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EBC7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14:paraId="3CE1B60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1DE8F9E">
            <w:pPr>
              <w:widowControl/>
              <w:jc w:val="center"/>
              <w:rPr>
                <w:rFonts w:ascii="仿宋_GB2312" w:hAnsi="宋体" w:eastAsia="仿宋_GB2312" w:cs="宋体"/>
                <w:kern w:val="0"/>
                <w:sz w:val="24"/>
              </w:rPr>
            </w:pPr>
            <w:r>
              <w:rPr>
                <w:rFonts w:hint="eastAsia" w:ascii="仿宋_GB2312" w:hAnsi="宋体" w:eastAsia="仿宋_GB2312" w:cs="宋体"/>
                <w:kern w:val="0"/>
                <w:sz w:val="24"/>
              </w:rPr>
              <w:t>2970</w:t>
            </w:r>
          </w:p>
        </w:tc>
      </w:tr>
      <w:tr w14:paraId="255F7BFA">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E785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14:paraId="5F2B3CA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DE49FEA">
            <w:pPr>
              <w:widowControl/>
              <w:jc w:val="center"/>
              <w:rPr>
                <w:rFonts w:ascii="仿宋_GB2312" w:hAnsi="宋体" w:eastAsia="仿宋_GB2312" w:cs="宋体"/>
                <w:kern w:val="0"/>
                <w:sz w:val="24"/>
              </w:rPr>
            </w:pPr>
            <w:r>
              <w:rPr>
                <w:rFonts w:hint="eastAsia" w:ascii="仿宋_GB2312" w:hAnsi="宋体" w:eastAsia="仿宋_GB2312" w:cs="宋体"/>
                <w:kern w:val="0"/>
                <w:sz w:val="24"/>
              </w:rPr>
              <w:t>661</w:t>
            </w:r>
          </w:p>
        </w:tc>
      </w:tr>
      <w:tr w14:paraId="28EEA96D">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498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14:paraId="7D13DB5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1EC75B7">
            <w:pPr>
              <w:widowControl/>
              <w:jc w:val="center"/>
              <w:rPr>
                <w:rFonts w:ascii="仿宋_GB2312" w:hAnsi="宋体" w:eastAsia="仿宋_GB2312" w:cs="宋体"/>
                <w:kern w:val="0"/>
                <w:sz w:val="24"/>
              </w:rPr>
            </w:pPr>
            <w:r>
              <w:rPr>
                <w:rFonts w:hint="eastAsia" w:ascii="仿宋_GB2312" w:hAnsi="宋体" w:eastAsia="仿宋_GB2312" w:cs="宋体"/>
                <w:kern w:val="0"/>
                <w:sz w:val="24"/>
              </w:rPr>
              <w:t>166</w:t>
            </w:r>
          </w:p>
        </w:tc>
      </w:tr>
      <w:tr w14:paraId="1C0ADBFC">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347A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4DD2FCC8">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CCB4D8B">
            <w:pPr>
              <w:widowControl/>
              <w:jc w:val="center"/>
              <w:rPr>
                <w:rFonts w:ascii="宋体" w:hAnsi="宋体" w:cs="宋体"/>
                <w:color w:val="000000"/>
                <w:kern w:val="0"/>
                <w:sz w:val="24"/>
              </w:rPr>
            </w:pPr>
          </w:p>
        </w:tc>
      </w:tr>
      <w:tr w14:paraId="75638BB6">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3BB4EC2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14:paraId="27CAE72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2BA2327">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r>
      <w:tr w14:paraId="6A7DEE6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14:paraId="4A2BFE8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28DF3EA6">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336027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A105E9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CE8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14:paraId="15A93E8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DBB3926">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347E5A9">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0C6C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14:paraId="31B51A4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A495EEB">
            <w:pPr>
              <w:jc w:val="center"/>
            </w:pPr>
            <w:r>
              <w:rPr>
                <w:rFonts w:hint="eastAsia" w:ascii="仿宋_GB2312" w:hAnsi="宋体" w:eastAsia="仿宋_GB2312" w:cs="宋体"/>
                <w:kern w:val="0"/>
                <w:sz w:val="24"/>
              </w:rPr>
              <w:t>0</w:t>
            </w:r>
          </w:p>
        </w:tc>
      </w:tr>
      <w:tr w14:paraId="5025BB0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17721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2B44D2C4">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35963D9">
            <w:pPr>
              <w:jc w:val="center"/>
            </w:pPr>
            <w:r>
              <w:rPr>
                <w:rFonts w:hint="eastAsia" w:ascii="仿宋_GB2312" w:hAnsi="宋体" w:eastAsia="仿宋_GB2312" w:cs="宋体"/>
                <w:kern w:val="0"/>
                <w:sz w:val="24"/>
              </w:rPr>
              <w:t>0</w:t>
            </w:r>
          </w:p>
        </w:tc>
      </w:tr>
      <w:tr w14:paraId="0D7F3FE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6B1167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14:paraId="02A1562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28EA0FD">
            <w:pPr>
              <w:jc w:val="center"/>
            </w:pPr>
            <w:r>
              <w:rPr>
                <w:rFonts w:hint="eastAsia" w:ascii="仿宋_GB2312" w:hAnsi="宋体" w:eastAsia="仿宋_GB2312" w:cs="宋体"/>
                <w:kern w:val="0"/>
                <w:sz w:val="24"/>
              </w:rPr>
              <w:t>0</w:t>
            </w:r>
          </w:p>
        </w:tc>
      </w:tr>
      <w:tr w14:paraId="28D15B0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E16E19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14:paraId="39BCFC26">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75488409">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14:paraId="0110F80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2BCE7D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14:paraId="4E9587D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7D111FD">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r>
      <w:tr w14:paraId="2487260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04150A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14:paraId="47E7821B">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7E9D1D0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3A27D6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B260BE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7C8B34D4">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49637686">
            <w:pPr>
              <w:widowControl/>
              <w:jc w:val="center"/>
              <w:rPr>
                <w:rFonts w:ascii="宋体" w:hAnsi="宋体" w:cs="宋体"/>
                <w:color w:val="000000"/>
                <w:kern w:val="0"/>
                <w:sz w:val="24"/>
              </w:rPr>
            </w:pPr>
          </w:p>
        </w:tc>
      </w:tr>
      <w:tr w14:paraId="01C2E2D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1C808E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14:paraId="29F90A8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DCAF129">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14:paraId="131873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F43084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14:paraId="4BD70F3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330DF4F">
            <w:pPr>
              <w:jc w:val="center"/>
            </w:pPr>
            <w:r>
              <w:rPr>
                <w:rFonts w:hint="eastAsia" w:ascii="仿宋_GB2312" w:hAnsi="宋体" w:eastAsia="仿宋_GB2312" w:cs="宋体"/>
                <w:kern w:val="0"/>
                <w:sz w:val="24"/>
              </w:rPr>
              <w:t>0</w:t>
            </w:r>
          </w:p>
        </w:tc>
      </w:tr>
      <w:tr w14:paraId="3040F4A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5AA73E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14:paraId="6CA55F6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21CF613">
            <w:pPr>
              <w:jc w:val="center"/>
            </w:pPr>
            <w:r>
              <w:rPr>
                <w:rFonts w:hint="eastAsia" w:ascii="仿宋_GB2312" w:hAnsi="宋体" w:eastAsia="仿宋_GB2312" w:cs="宋体"/>
                <w:kern w:val="0"/>
                <w:sz w:val="24"/>
              </w:rPr>
              <w:t>0</w:t>
            </w:r>
          </w:p>
        </w:tc>
      </w:tr>
      <w:tr w14:paraId="57884FE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4A401E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14:paraId="30A000F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930789D">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14:paraId="2C646B6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0A0BE0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14:paraId="0EA4AC0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6ECE1A7">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65939D4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D4808F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14:paraId="05029B8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062B686">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14:paraId="714A606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DA761D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14:paraId="787B6C0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BBAD0CD">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14:paraId="6018AD3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2C33C6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14:paraId="6D82FC8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3C8B955">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FBC630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8CA968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14:paraId="58E9FC5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5D7E773">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14:paraId="26FEF19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F7F93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14:paraId="1F8BC33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135F503">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CF77F4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B2BD8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14:paraId="3D3A7E8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DF2A84">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14:paraId="7677599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54E997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14:paraId="3E604C1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330A32">
            <w:pPr>
              <w:jc w:val="center"/>
            </w:pPr>
            <w:r>
              <w:rPr>
                <w:rFonts w:hint="eastAsia" w:ascii="仿宋_GB2312" w:hAnsi="宋体" w:eastAsia="仿宋_GB2312" w:cs="宋体"/>
                <w:kern w:val="0"/>
                <w:sz w:val="24"/>
              </w:rPr>
              <w:t>0</w:t>
            </w:r>
          </w:p>
        </w:tc>
      </w:tr>
      <w:tr w14:paraId="0919B7C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A97B93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14:paraId="50C8E07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2473FCB">
            <w:pPr>
              <w:jc w:val="center"/>
            </w:pPr>
            <w:r>
              <w:rPr>
                <w:rFonts w:hint="eastAsia" w:ascii="仿宋_GB2312" w:hAnsi="宋体" w:eastAsia="仿宋_GB2312" w:cs="宋体"/>
                <w:kern w:val="0"/>
                <w:sz w:val="24"/>
              </w:rPr>
              <w:t>0</w:t>
            </w:r>
          </w:p>
        </w:tc>
      </w:tr>
      <w:tr w14:paraId="3895A0D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BB45287">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14:paraId="4985C6A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0A205CE">
            <w:pPr>
              <w:jc w:val="center"/>
            </w:pPr>
            <w:r>
              <w:rPr>
                <w:rFonts w:hint="eastAsia" w:ascii="仿宋_GB2312" w:hAnsi="宋体" w:eastAsia="仿宋_GB2312" w:cs="宋体"/>
                <w:kern w:val="0"/>
                <w:sz w:val="24"/>
              </w:rPr>
              <w:t>0</w:t>
            </w:r>
          </w:p>
        </w:tc>
      </w:tr>
      <w:tr w14:paraId="175767D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5F32027">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14:paraId="05F2178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C95835">
            <w:pPr>
              <w:jc w:val="center"/>
            </w:pPr>
            <w:r>
              <w:rPr>
                <w:rFonts w:hint="eastAsia" w:ascii="仿宋_GB2312" w:hAnsi="宋体" w:eastAsia="仿宋_GB2312" w:cs="宋体"/>
                <w:kern w:val="0"/>
                <w:sz w:val="24"/>
              </w:rPr>
              <w:t>0</w:t>
            </w:r>
          </w:p>
        </w:tc>
      </w:tr>
      <w:tr w14:paraId="5DDEE63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18841">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FA2D9A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EDDA271">
            <w:pPr>
              <w:jc w:val="center"/>
            </w:pPr>
            <w:r>
              <w:rPr>
                <w:rFonts w:hint="eastAsia" w:ascii="仿宋_GB2312" w:hAnsi="宋体" w:eastAsia="仿宋_GB2312" w:cs="宋体"/>
                <w:kern w:val="0"/>
                <w:sz w:val="24"/>
              </w:rPr>
              <w:t>0</w:t>
            </w:r>
          </w:p>
        </w:tc>
      </w:tr>
      <w:tr w14:paraId="2B35246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9C3E236">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14:paraId="5A33DED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B16E722">
            <w:pPr>
              <w:jc w:val="center"/>
            </w:pPr>
            <w:r>
              <w:rPr>
                <w:rFonts w:hint="eastAsia" w:ascii="仿宋_GB2312" w:hAnsi="宋体" w:eastAsia="仿宋_GB2312" w:cs="宋体"/>
                <w:kern w:val="0"/>
                <w:sz w:val="24"/>
              </w:rPr>
              <w:t>0</w:t>
            </w:r>
          </w:p>
        </w:tc>
      </w:tr>
      <w:tr w14:paraId="43A9336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914AB5A">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14:paraId="0FAB425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5D81C9">
            <w:pPr>
              <w:jc w:val="center"/>
            </w:pPr>
            <w:r>
              <w:rPr>
                <w:rFonts w:hint="eastAsia" w:ascii="仿宋_GB2312" w:hAnsi="宋体" w:eastAsia="仿宋_GB2312" w:cs="宋体"/>
                <w:kern w:val="0"/>
                <w:sz w:val="24"/>
              </w:rPr>
              <w:t>0</w:t>
            </w:r>
          </w:p>
        </w:tc>
      </w:tr>
      <w:tr w14:paraId="3E991EE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69C41C0">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14:paraId="42EB11F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B1DF2EB">
            <w:pPr>
              <w:jc w:val="center"/>
            </w:pPr>
            <w:r>
              <w:rPr>
                <w:rFonts w:hint="eastAsia" w:ascii="仿宋_GB2312" w:hAnsi="宋体" w:eastAsia="仿宋_GB2312" w:cs="宋体"/>
                <w:kern w:val="0"/>
                <w:sz w:val="24"/>
              </w:rPr>
              <w:t>0</w:t>
            </w:r>
          </w:p>
        </w:tc>
      </w:tr>
      <w:tr w14:paraId="762DFE3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8D7B6A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14:paraId="0E82418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05233B">
            <w:pPr>
              <w:jc w:val="center"/>
            </w:pPr>
            <w:r>
              <w:rPr>
                <w:rFonts w:hint="eastAsia" w:ascii="仿宋_GB2312" w:hAnsi="宋体" w:eastAsia="仿宋_GB2312" w:cs="宋体"/>
                <w:kern w:val="0"/>
                <w:sz w:val="24"/>
              </w:rPr>
              <w:t>0</w:t>
            </w:r>
          </w:p>
        </w:tc>
      </w:tr>
      <w:tr w14:paraId="5F31ADF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D306F6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14:paraId="47FC3DF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7D5846B">
            <w:pPr>
              <w:jc w:val="center"/>
            </w:pPr>
            <w:r>
              <w:rPr>
                <w:rFonts w:hint="eastAsia" w:ascii="仿宋_GB2312" w:hAnsi="宋体" w:eastAsia="仿宋_GB2312" w:cs="宋体"/>
                <w:kern w:val="0"/>
                <w:sz w:val="24"/>
              </w:rPr>
              <w:t>0</w:t>
            </w:r>
          </w:p>
        </w:tc>
      </w:tr>
      <w:tr w14:paraId="7B78DB8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5C074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14:paraId="48B53D3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E53EFD8">
            <w:pPr>
              <w:jc w:val="center"/>
            </w:pPr>
            <w:r>
              <w:rPr>
                <w:rFonts w:hint="eastAsia" w:ascii="仿宋_GB2312" w:hAnsi="宋体" w:eastAsia="仿宋_GB2312" w:cs="宋体"/>
                <w:kern w:val="0"/>
                <w:sz w:val="24"/>
              </w:rPr>
              <w:t>0</w:t>
            </w:r>
          </w:p>
        </w:tc>
      </w:tr>
      <w:tr w14:paraId="19C685E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41202F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14:paraId="572C198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4859183">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E834EF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B0269A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14:paraId="55DC3C55">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7EEA4E0">
            <w:pPr>
              <w:widowControl/>
              <w:jc w:val="center"/>
              <w:rPr>
                <w:rFonts w:ascii="宋体" w:hAnsi="宋体" w:cs="宋体"/>
                <w:color w:val="000000"/>
                <w:kern w:val="0"/>
                <w:sz w:val="24"/>
              </w:rPr>
            </w:pPr>
          </w:p>
        </w:tc>
      </w:tr>
      <w:tr w14:paraId="2207AF0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1847F7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14:paraId="2F437E5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9AD4F5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7A88FE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10EEB2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313C24B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FFEA7C">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0B227FF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0D7E8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1E219B2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3B0305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DEE851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C1010D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14:paraId="1A4A51D1">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ABB3D77">
            <w:pPr>
              <w:jc w:val="center"/>
            </w:pPr>
            <w:r>
              <w:rPr>
                <w:rFonts w:hint="eastAsia" w:ascii="仿宋_GB2312" w:hAnsi="宋体" w:eastAsia="仿宋_GB2312" w:cs="宋体"/>
                <w:kern w:val="0"/>
                <w:sz w:val="24"/>
              </w:rPr>
              <w:t>0</w:t>
            </w:r>
          </w:p>
        </w:tc>
      </w:tr>
      <w:tr w14:paraId="5EBD3B2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6F972C1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14:paraId="18908C6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CCD009D">
            <w:pPr>
              <w:jc w:val="center"/>
            </w:pPr>
            <w:r>
              <w:rPr>
                <w:rFonts w:hint="eastAsia" w:ascii="仿宋_GB2312" w:hAnsi="宋体" w:eastAsia="仿宋_GB2312" w:cs="宋体"/>
                <w:kern w:val="0"/>
                <w:sz w:val="24"/>
              </w:rPr>
              <w:t>0</w:t>
            </w:r>
          </w:p>
        </w:tc>
      </w:tr>
      <w:tr w14:paraId="43B57C0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1D2323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14:paraId="1AB7037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23B49A9">
            <w:pPr>
              <w:jc w:val="center"/>
            </w:pPr>
            <w:r>
              <w:rPr>
                <w:rFonts w:hint="eastAsia" w:ascii="仿宋_GB2312" w:hAnsi="宋体" w:eastAsia="仿宋_GB2312" w:cs="宋体"/>
                <w:kern w:val="0"/>
                <w:sz w:val="24"/>
              </w:rPr>
              <w:t>0</w:t>
            </w:r>
          </w:p>
        </w:tc>
      </w:tr>
      <w:tr w14:paraId="313FD1C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74FAAD1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noWrap/>
            <w:vAlign w:val="center"/>
          </w:tcPr>
          <w:p w14:paraId="6BF3AB7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5652C37">
            <w:pPr>
              <w:jc w:val="center"/>
            </w:pPr>
            <w:r>
              <w:rPr>
                <w:rFonts w:hint="eastAsia" w:ascii="仿宋_GB2312" w:hAnsi="宋体" w:eastAsia="仿宋_GB2312" w:cs="宋体"/>
                <w:kern w:val="0"/>
                <w:sz w:val="24"/>
              </w:rPr>
              <w:t>0</w:t>
            </w:r>
          </w:p>
        </w:tc>
      </w:tr>
      <w:tr w14:paraId="4866C87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0462C55">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14:paraId="1C5CB322">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675F897">
            <w:pPr>
              <w:jc w:val="center"/>
            </w:pPr>
            <w:r>
              <w:rPr>
                <w:rFonts w:hint="eastAsia" w:ascii="仿宋_GB2312" w:hAnsi="宋体" w:eastAsia="仿宋_GB2312" w:cs="宋体"/>
                <w:kern w:val="0"/>
                <w:sz w:val="24"/>
              </w:rPr>
              <w:t>0</w:t>
            </w:r>
          </w:p>
        </w:tc>
      </w:tr>
      <w:tr w14:paraId="277D14D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AFD9F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14:paraId="277B0146">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53AE249D">
            <w:pPr>
              <w:jc w:val="center"/>
            </w:pPr>
            <w:r>
              <w:rPr>
                <w:rFonts w:hint="eastAsia" w:ascii="仿宋_GB2312" w:hAnsi="宋体" w:eastAsia="仿宋_GB2312" w:cs="宋体"/>
                <w:kern w:val="0"/>
                <w:sz w:val="24"/>
              </w:rPr>
              <w:t>0</w:t>
            </w:r>
          </w:p>
        </w:tc>
      </w:tr>
      <w:tr w14:paraId="42367EA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CB42C63">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3B9C5CF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1FB5196F">
            <w:pPr>
              <w:widowControl/>
              <w:jc w:val="center"/>
              <w:rPr>
                <w:rFonts w:ascii="宋体" w:hAnsi="宋体" w:cs="宋体"/>
                <w:color w:val="000000"/>
                <w:kern w:val="0"/>
                <w:sz w:val="24"/>
              </w:rPr>
            </w:pPr>
          </w:p>
        </w:tc>
      </w:tr>
      <w:tr w14:paraId="1DF49384">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AEB9E8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14:paraId="102066B5">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42D2FFD4">
            <w:pPr>
              <w:jc w:val="center"/>
            </w:pPr>
            <w:r>
              <w:rPr>
                <w:rFonts w:hint="eastAsia" w:ascii="仿宋_GB2312" w:hAnsi="宋体" w:eastAsia="仿宋_GB2312" w:cs="宋体"/>
                <w:kern w:val="0"/>
                <w:sz w:val="24"/>
              </w:rPr>
              <w:t>0</w:t>
            </w:r>
          </w:p>
        </w:tc>
      </w:tr>
      <w:tr w14:paraId="36C9E9F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2A741B3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14:paraId="013B05DE">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417E61EB">
            <w:pPr>
              <w:jc w:val="center"/>
            </w:pPr>
            <w:r>
              <w:rPr>
                <w:rFonts w:hint="eastAsia" w:ascii="仿宋_GB2312" w:hAnsi="宋体" w:eastAsia="仿宋_GB2312" w:cs="宋体"/>
                <w:kern w:val="0"/>
                <w:sz w:val="24"/>
              </w:rPr>
              <w:t>0</w:t>
            </w:r>
          </w:p>
        </w:tc>
      </w:tr>
      <w:tr w14:paraId="7EA422A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4C7081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14:paraId="5F40D484">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F65627F">
            <w:pPr>
              <w:jc w:val="center"/>
            </w:pPr>
            <w:r>
              <w:rPr>
                <w:rFonts w:hint="eastAsia" w:ascii="仿宋_GB2312" w:hAnsi="宋体" w:eastAsia="仿宋_GB2312" w:cs="宋体"/>
                <w:kern w:val="0"/>
                <w:sz w:val="24"/>
              </w:rPr>
              <w:t>0</w:t>
            </w:r>
          </w:p>
        </w:tc>
      </w:tr>
      <w:tr w14:paraId="33F1909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EB7FCC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14:paraId="4086E114">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6085D980">
            <w:pPr>
              <w:jc w:val="center"/>
            </w:pPr>
            <w:r>
              <w:rPr>
                <w:rFonts w:hint="eastAsia" w:ascii="仿宋_GB2312" w:hAnsi="宋体" w:eastAsia="仿宋_GB2312" w:cs="宋体"/>
                <w:kern w:val="0"/>
                <w:sz w:val="24"/>
              </w:rPr>
              <w:t>0</w:t>
            </w:r>
          </w:p>
        </w:tc>
      </w:tr>
      <w:tr w14:paraId="6D1B057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3453876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14:paraId="0207FD98">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16D8BB1E">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5CA30BBD">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14:paraId="37C69608">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14:paraId="726E8CFA">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228E12E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A5264E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4E32A80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14:paraId="051DB070">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27ADEE70">
            <w:pPr>
              <w:widowControl/>
              <w:jc w:val="center"/>
              <w:rPr>
                <w:rFonts w:ascii="宋体" w:hAnsi="宋体" w:cs="宋体"/>
                <w:color w:val="000000"/>
                <w:kern w:val="0"/>
                <w:sz w:val="24"/>
              </w:rPr>
            </w:pPr>
          </w:p>
        </w:tc>
      </w:tr>
      <w:tr w14:paraId="6775EA0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5D5C59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14:paraId="5DA429E6">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9914323">
            <w:pPr>
              <w:jc w:val="center"/>
            </w:pPr>
            <w:r>
              <w:rPr>
                <w:rFonts w:hint="eastAsia" w:ascii="仿宋_GB2312" w:hAnsi="宋体" w:eastAsia="仿宋_GB2312" w:cs="宋体"/>
                <w:kern w:val="0"/>
                <w:sz w:val="24"/>
              </w:rPr>
              <w:t>0</w:t>
            </w:r>
          </w:p>
        </w:tc>
      </w:tr>
      <w:tr w14:paraId="4E5BB41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14:paraId="02F6E03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14:paraId="4452C905">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C818EEC">
            <w:pPr>
              <w:jc w:val="center"/>
            </w:pPr>
            <w:r>
              <w:rPr>
                <w:rFonts w:hint="eastAsia" w:ascii="仿宋_GB2312" w:hAnsi="宋体" w:eastAsia="仿宋_GB2312" w:cs="宋体"/>
                <w:kern w:val="0"/>
                <w:sz w:val="24"/>
              </w:rPr>
              <w:t>0</w:t>
            </w:r>
          </w:p>
        </w:tc>
      </w:tr>
      <w:tr w14:paraId="407D7E5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14:paraId="237222A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14:paraId="285454D8">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014F3A65">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bl>
    <w:p w14:paraId="7339AB7D"/>
    <w:p w14:paraId="7ED1FC45">
      <w:pPr>
        <w:widowControl/>
        <w:shd w:val="clear" w:color="auto" w:fill="FFFFFF"/>
        <w:spacing w:line="560" w:lineRule="exact"/>
        <w:ind w:firstLine="4000"/>
        <w:rPr>
          <w:rFonts w:ascii="Arial" w:hAnsi="Arial" w:eastAsia="仿宋_GB2312" w:cs="Arial"/>
          <w:color w:val="000000"/>
          <w:kern w:val="0"/>
          <w:sz w:val="32"/>
          <w:szCs w:val="32"/>
        </w:rPr>
      </w:pPr>
    </w:p>
    <w:p w14:paraId="50853782">
      <w:pPr>
        <w:widowControl/>
        <w:shd w:val="clear" w:color="auto" w:fill="FFFFFF"/>
        <w:spacing w:line="560" w:lineRule="exact"/>
        <w:ind w:firstLine="4000"/>
        <w:rPr>
          <w:rFonts w:ascii="仿宋_GB2312" w:hAnsi="Calibri" w:eastAsia="仿宋_GB2312" w:cs="宋体"/>
          <w:color w:val="000000"/>
          <w:kern w:val="0"/>
          <w:sz w:val="32"/>
          <w:szCs w:val="32"/>
        </w:rPr>
      </w:pPr>
      <w:r>
        <w:rPr>
          <w:rFonts w:hint="eastAsia" w:ascii="Arial" w:hAnsi="Arial" w:eastAsia="仿宋_GB2312" w:cs="Arial"/>
          <w:color w:val="000000"/>
          <w:kern w:val="0"/>
          <w:sz w:val="32"/>
          <w:szCs w:val="32"/>
        </w:rPr>
        <w:t> </w:t>
      </w:r>
    </w:p>
    <w:p w14:paraId="09E63B96">
      <w:pPr>
        <w:widowControl/>
        <w:shd w:val="clear" w:color="auto" w:fill="FFFFFF"/>
        <w:spacing w:line="560" w:lineRule="exact"/>
        <w:ind w:firstLine="4000"/>
        <w:rPr>
          <w:rFonts w:ascii="仿宋_GB2312" w:hAnsi="Calibri" w:eastAsia="仿宋_GB2312" w:cs="宋体"/>
          <w:color w:val="000000"/>
          <w:kern w:val="0"/>
          <w:sz w:val="32"/>
          <w:szCs w:val="32"/>
        </w:rPr>
      </w:pPr>
      <w:r>
        <w:rPr>
          <w:rFonts w:hint="eastAsia" w:ascii="Arial" w:hAnsi="Arial" w:eastAsia="仿宋_GB2312" w:cs="Arial"/>
          <w:color w:val="000000"/>
          <w:kern w:val="0"/>
          <w:sz w:val="32"/>
          <w:szCs w:val="32"/>
        </w:rPr>
        <w:t> </w:t>
      </w:r>
    </w:p>
    <w:p w14:paraId="310DFC80">
      <w:pPr>
        <w:widowControl/>
        <w:shd w:val="clear" w:color="auto" w:fill="FFFFFF"/>
        <w:spacing w:line="560" w:lineRule="exact"/>
        <w:ind w:right="640" w:firstLine="4000"/>
        <w:jc w:val="right"/>
        <w:rPr>
          <w:rFonts w:ascii="仿宋_GB2312" w:hAnsi="Calibri" w:eastAsia="仿宋_GB2312" w:cs="宋体"/>
          <w:color w:val="000000"/>
          <w:kern w:val="0"/>
          <w:sz w:val="32"/>
          <w:szCs w:val="32"/>
        </w:rPr>
      </w:pPr>
      <w:r>
        <w:rPr>
          <w:rFonts w:hint="eastAsia" w:ascii="仿宋_GB2312" w:hAnsi="仿宋" w:eastAsia="仿宋_GB2312" w:cs="宋体"/>
          <w:color w:val="000000"/>
          <w:kern w:val="0"/>
          <w:sz w:val="32"/>
          <w:szCs w:val="32"/>
        </w:rPr>
        <w:t xml:space="preserve">北京市知识产权局    </w:t>
      </w:r>
    </w:p>
    <w:p w14:paraId="78CC637B">
      <w:pPr>
        <w:widowControl/>
        <w:shd w:val="clear" w:color="auto" w:fill="FFFFFF"/>
        <w:spacing w:line="560" w:lineRule="exact"/>
        <w:ind w:right="640" w:firstLine="5440" w:firstLineChars="1700"/>
        <w:rPr>
          <w:rFonts w:ascii="仿宋_GB2312" w:eastAsia="仿宋_GB2312"/>
          <w:sz w:val="32"/>
          <w:szCs w:val="32"/>
        </w:rPr>
      </w:pPr>
      <w:r>
        <w:rPr>
          <w:rFonts w:hint="eastAsia" w:ascii="仿宋_GB2312" w:hAnsi="仿宋" w:eastAsia="仿宋_GB2312" w:cs="宋体"/>
          <w:color w:val="000000"/>
          <w:kern w:val="0"/>
          <w:sz w:val="32"/>
          <w:szCs w:val="32"/>
        </w:rPr>
        <w:t>2019年</w:t>
      </w:r>
      <w:r>
        <w:rPr>
          <w:rFonts w:hint="eastAsia" w:ascii="仿宋_GB2312" w:hAnsi="宋体" w:eastAsia="仿宋_GB2312" w:cs="宋体"/>
          <w:color w:val="000000"/>
          <w:kern w:val="0"/>
          <w:sz w:val="32"/>
          <w:szCs w:val="32"/>
        </w:rPr>
        <w:t>3</w:t>
      </w:r>
      <w:r>
        <w:rPr>
          <w:rFonts w:hint="eastAsia" w:ascii="仿宋_GB2312" w:hAnsi="仿宋" w:eastAsia="仿宋_GB2312" w:cs="宋体"/>
          <w:color w:val="000000"/>
          <w:kern w:val="0"/>
          <w:sz w:val="32"/>
          <w:szCs w:val="32"/>
        </w:rPr>
        <w:t>月</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E75C88-14B2-4B00-85D5-F3E8BD6C22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5C8DA37-E274-4287-9811-A0259A8C69D6}"/>
  </w:font>
  <w:font w:name="方正小标宋简体">
    <w:panose1 w:val="02000000000000000000"/>
    <w:charset w:val="86"/>
    <w:family w:val="script"/>
    <w:pitch w:val="default"/>
    <w:sig w:usb0="00000001" w:usb1="08000000" w:usb2="00000000" w:usb3="00000000" w:csb0="00040000" w:csb1="00000000"/>
    <w:embedRegular r:id="rId3" w:fontKey="{D892F7F5-7959-4339-B60F-BAC43C2236F7}"/>
  </w:font>
  <w:font w:name="仿宋_GB2312">
    <w:panose1 w:val="02010609030101010101"/>
    <w:charset w:val="86"/>
    <w:family w:val="modern"/>
    <w:pitch w:val="default"/>
    <w:sig w:usb0="00000001" w:usb1="080E0000" w:usb2="00000000" w:usb3="00000000" w:csb0="00040000" w:csb1="00000000"/>
    <w:embedRegular r:id="rId4" w:fontKey="{70A37335-24A1-49BC-9602-C189AC799FCA}"/>
  </w:font>
  <w:font w:name="仿宋">
    <w:panose1 w:val="02010609060101010101"/>
    <w:charset w:val="86"/>
    <w:family w:val="modern"/>
    <w:pitch w:val="default"/>
    <w:sig w:usb0="800002BF" w:usb1="38CF7CFA" w:usb2="00000016" w:usb3="00000000" w:csb0="00040001" w:csb1="00000000"/>
    <w:embedRegular r:id="rId5" w:fontKey="{7B822466-36CD-4B85-ADB4-8F09897502B2}"/>
  </w:font>
  <w:font w:name="Arial">
    <w:panose1 w:val="020B0604020202020204"/>
    <w:charset w:val="00"/>
    <w:family w:val="swiss"/>
    <w:pitch w:val="default"/>
    <w:sig w:usb0="E0002EFF" w:usb1="C000785B" w:usb2="00000009" w:usb3="00000000" w:csb0="400001FF" w:csb1="FFFF0000"/>
    <w:embedRegular r:id="rId6" w:fontKey="{94DBF7A8-2423-4D03-89F3-FBD235F9B42D}"/>
  </w:font>
  <w:font w:name="楷体_GB2312">
    <w:altName w:val="楷体"/>
    <w:panose1 w:val="02010609030101010101"/>
    <w:charset w:val="86"/>
    <w:family w:val="modern"/>
    <w:pitch w:val="default"/>
    <w:sig w:usb0="00000000" w:usb1="00000000" w:usb2="00000010" w:usb3="00000000" w:csb0="00040000" w:csb1="00000000"/>
    <w:embedRegular r:id="rId7" w:fontKey="{BE8B30E4-D7D8-4DBD-B50D-669766424054}"/>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572"/>
      <w:docPartObj>
        <w:docPartGallery w:val="AutoText"/>
      </w:docPartObj>
    </w:sdtPr>
    <w:sdtEndPr>
      <w:rPr>
        <w:rFonts w:asciiTheme="minorEastAsia" w:hAnsiTheme="minorEastAsia"/>
        <w:sz w:val="28"/>
        <w:szCs w:val="28"/>
      </w:rPr>
    </w:sdtEndPr>
    <w:sdtContent>
      <w:p w14:paraId="3FA0CAC3">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p>
    </w:sdtContent>
  </w:sdt>
  <w:p w14:paraId="3BC0AE4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5D7D"/>
    <w:rsid w:val="000132E1"/>
    <w:rsid w:val="00014702"/>
    <w:rsid w:val="00015E49"/>
    <w:rsid w:val="0003089D"/>
    <w:rsid w:val="00032F48"/>
    <w:rsid w:val="00036C51"/>
    <w:rsid w:val="000564D5"/>
    <w:rsid w:val="00060811"/>
    <w:rsid w:val="00080C69"/>
    <w:rsid w:val="000B3D7C"/>
    <w:rsid w:val="000B668F"/>
    <w:rsid w:val="000C20D6"/>
    <w:rsid w:val="000E3178"/>
    <w:rsid w:val="000E3543"/>
    <w:rsid w:val="000E54DF"/>
    <w:rsid w:val="000F5F48"/>
    <w:rsid w:val="00100513"/>
    <w:rsid w:val="00110083"/>
    <w:rsid w:val="00121EF9"/>
    <w:rsid w:val="001222B0"/>
    <w:rsid w:val="00126B83"/>
    <w:rsid w:val="00130EAC"/>
    <w:rsid w:val="0013749D"/>
    <w:rsid w:val="00151B06"/>
    <w:rsid w:val="001670C4"/>
    <w:rsid w:val="0017144D"/>
    <w:rsid w:val="00182ACC"/>
    <w:rsid w:val="00186783"/>
    <w:rsid w:val="00192ED4"/>
    <w:rsid w:val="001C0971"/>
    <w:rsid w:val="001C1181"/>
    <w:rsid w:val="001C16EE"/>
    <w:rsid w:val="001D0616"/>
    <w:rsid w:val="001D220C"/>
    <w:rsid w:val="001E256E"/>
    <w:rsid w:val="001F2126"/>
    <w:rsid w:val="002125B0"/>
    <w:rsid w:val="00231C28"/>
    <w:rsid w:val="002436BB"/>
    <w:rsid w:val="00260EF9"/>
    <w:rsid w:val="00285BB2"/>
    <w:rsid w:val="002939C7"/>
    <w:rsid w:val="002B659A"/>
    <w:rsid w:val="002B7BBD"/>
    <w:rsid w:val="002E2EA3"/>
    <w:rsid w:val="002E3E99"/>
    <w:rsid w:val="002F6496"/>
    <w:rsid w:val="00304AA4"/>
    <w:rsid w:val="00321B3B"/>
    <w:rsid w:val="00337577"/>
    <w:rsid w:val="0035476C"/>
    <w:rsid w:val="00372D82"/>
    <w:rsid w:val="00383B3E"/>
    <w:rsid w:val="00383E7C"/>
    <w:rsid w:val="003942C6"/>
    <w:rsid w:val="003A317E"/>
    <w:rsid w:val="003B4A93"/>
    <w:rsid w:val="003B6863"/>
    <w:rsid w:val="003C480B"/>
    <w:rsid w:val="003C5476"/>
    <w:rsid w:val="003D4C26"/>
    <w:rsid w:val="003E14BA"/>
    <w:rsid w:val="003E3317"/>
    <w:rsid w:val="003F279E"/>
    <w:rsid w:val="003F3009"/>
    <w:rsid w:val="00401BD0"/>
    <w:rsid w:val="004048D3"/>
    <w:rsid w:val="00412466"/>
    <w:rsid w:val="0041447A"/>
    <w:rsid w:val="004215AE"/>
    <w:rsid w:val="0042771E"/>
    <w:rsid w:val="004448BC"/>
    <w:rsid w:val="0045617C"/>
    <w:rsid w:val="00464CA0"/>
    <w:rsid w:val="00485D21"/>
    <w:rsid w:val="00494770"/>
    <w:rsid w:val="004957C9"/>
    <w:rsid w:val="00497EED"/>
    <w:rsid w:val="004A1C10"/>
    <w:rsid w:val="004B009F"/>
    <w:rsid w:val="004B0DA3"/>
    <w:rsid w:val="004C12CC"/>
    <w:rsid w:val="004D2A09"/>
    <w:rsid w:val="004D3317"/>
    <w:rsid w:val="004F21D8"/>
    <w:rsid w:val="004F5B22"/>
    <w:rsid w:val="004F6446"/>
    <w:rsid w:val="00501F18"/>
    <w:rsid w:val="005036DB"/>
    <w:rsid w:val="00505A76"/>
    <w:rsid w:val="00512BD1"/>
    <w:rsid w:val="00513542"/>
    <w:rsid w:val="00516F41"/>
    <w:rsid w:val="00530A98"/>
    <w:rsid w:val="00531B71"/>
    <w:rsid w:val="00555932"/>
    <w:rsid w:val="005647A3"/>
    <w:rsid w:val="00591C8A"/>
    <w:rsid w:val="00592307"/>
    <w:rsid w:val="005B64E6"/>
    <w:rsid w:val="005C2285"/>
    <w:rsid w:val="005D4CAA"/>
    <w:rsid w:val="005E44E7"/>
    <w:rsid w:val="005F0DCC"/>
    <w:rsid w:val="005F7AB4"/>
    <w:rsid w:val="00600386"/>
    <w:rsid w:val="006014FE"/>
    <w:rsid w:val="0061291B"/>
    <w:rsid w:val="006215A7"/>
    <w:rsid w:val="00626779"/>
    <w:rsid w:val="006500E0"/>
    <w:rsid w:val="00660CB7"/>
    <w:rsid w:val="0067004A"/>
    <w:rsid w:val="00674D06"/>
    <w:rsid w:val="006844B3"/>
    <w:rsid w:val="00684C12"/>
    <w:rsid w:val="00693697"/>
    <w:rsid w:val="006A2B73"/>
    <w:rsid w:val="006D0174"/>
    <w:rsid w:val="006E4BAB"/>
    <w:rsid w:val="006F7BD7"/>
    <w:rsid w:val="00703F79"/>
    <w:rsid w:val="0070703D"/>
    <w:rsid w:val="007217E2"/>
    <w:rsid w:val="00722859"/>
    <w:rsid w:val="007264D2"/>
    <w:rsid w:val="0072693D"/>
    <w:rsid w:val="00733ED0"/>
    <w:rsid w:val="00734C9F"/>
    <w:rsid w:val="00773615"/>
    <w:rsid w:val="00780F2A"/>
    <w:rsid w:val="00791305"/>
    <w:rsid w:val="0079773F"/>
    <w:rsid w:val="007A11AC"/>
    <w:rsid w:val="007E02AE"/>
    <w:rsid w:val="007E3FC8"/>
    <w:rsid w:val="007E6424"/>
    <w:rsid w:val="00822455"/>
    <w:rsid w:val="00845AF8"/>
    <w:rsid w:val="0084671C"/>
    <w:rsid w:val="00857C25"/>
    <w:rsid w:val="00871AEC"/>
    <w:rsid w:val="0089705B"/>
    <w:rsid w:val="008A06F1"/>
    <w:rsid w:val="008A7078"/>
    <w:rsid w:val="008C2765"/>
    <w:rsid w:val="008C55A3"/>
    <w:rsid w:val="008D4869"/>
    <w:rsid w:val="00901D63"/>
    <w:rsid w:val="00915C1F"/>
    <w:rsid w:val="00936980"/>
    <w:rsid w:val="00945DCE"/>
    <w:rsid w:val="00953069"/>
    <w:rsid w:val="00960919"/>
    <w:rsid w:val="0096783B"/>
    <w:rsid w:val="009768EB"/>
    <w:rsid w:val="00980AE5"/>
    <w:rsid w:val="009825CE"/>
    <w:rsid w:val="00982763"/>
    <w:rsid w:val="00982A69"/>
    <w:rsid w:val="0098356E"/>
    <w:rsid w:val="00990E5F"/>
    <w:rsid w:val="00992091"/>
    <w:rsid w:val="00992E34"/>
    <w:rsid w:val="009A777D"/>
    <w:rsid w:val="009A7AF4"/>
    <w:rsid w:val="009C1BA3"/>
    <w:rsid w:val="009C4CAF"/>
    <w:rsid w:val="009C63CB"/>
    <w:rsid w:val="009D4836"/>
    <w:rsid w:val="009D4F13"/>
    <w:rsid w:val="009E468F"/>
    <w:rsid w:val="009E72BD"/>
    <w:rsid w:val="009F04E0"/>
    <w:rsid w:val="00A1507E"/>
    <w:rsid w:val="00A17C44"/>
    <w:rsid w:val="00A2128D"/>
    <w:rsid w:val="00A2729A"/>
    <w:rsid w:val="00A30F0C"/>
    <w:rsid w:val="00A33152"/>
    <w:rsid w:val="00A54B1B"/>
    <w:rsid w:val="00A77DF5"/>
    <w:rsid w:val="00AB57B0"/>
    <w:rsid w:val="00AB73DB"/>
    <w:rsid w:val="00AC0D9B"/>
    <w:rsid w:val="00AF4A8B"/>
    <w:rsid w:val="00B045B1"/>
    <w:rsid w:val="00B10B4F"/>
    <w:rsid w:val="00B13ADC"/>
    <w:rsid w:val="00B14BD6"/>
    <w:rsid w:val="00B16F3C"/>
    <w:rsid w:val="00B27E0F"/>
    <w:rsid w:val="00B47F95"/>
    <w:rsid w:val="00B715B0"/>
    <w:rsid w:val="00B71A3A"/>
    <w:rsid w:val="00B776CC"/>
    <w:rsid w:val="00B85D7D"/>
    <w:rsid w:val="00B86E72"/>
    <w:rsid w:val="00B873E9"/>
    <w:rsid w:val="00B96165"/>
    <w:rsid w:val="00BA0797"/>
    <w:rsid w:val="00BA3588"/>
    <w:rsid w:val="00BA4403"/>
    <w:rsid w:val="00BB01D6"/>
    <w:rsid w:val="00BB5915"/>
    <w:rsid w:val="00BC46CC"/>
    <w:rsid w:val="00BE1ED9"/>
    <w:rsid w:val="00BF1FF7"/>
    <w:rsid w:val="00C040E4"/>
    <w:rsid w:val="00C046CD"/>
    <w:rsid w:val="00C115BE"/>
    <w:rsid w:val="00C26A43"/>
    <w:rsid w:val="00C325F7"/>
    <w:rsid w:val="00C33991"/>
    <w:rsid w:val="00C407C3"/>
    <w:rsid w:val="00C41D84"/>
    <w:rsid w:val="00C53584"/>
    <w:rsid w:val="00C55460"/>
    <w:rsid w:val="00C601A0"/>
    <w:rsid w:val="00C6070C"/>
    <w:rsid w:val="00C63D2D"/>
    <w:rsid w:val="00C70CA9"/>
    <w:rsid w:val="00C812F4"/>
    <w:rsid w:val="00C86ED1"/>
    <w:rsid w:val="00CA06B8"/>
    <w:rsid w:val="00CB6E3E"/>
    <w:rsid w:val="00CC462A"/>
    <w:rsid w:val="00CE77BB"/>
    <w:rsid w:val="00CE7C64"/>
    <w:rsid w:val="00D046F7"/>
    <w:rsid w:val="00D27B9F"/>
    <w:rsid w:val="00D3694A"/>
    <w:rsid w:val="00D42284"/>
    <w:rsid w:val="00D659AF"/>
    <w:rsid w:val="00D70497"/>
    <w:rsid w:val="00D71119"/>
    <w:rsid w:val="00D75532"/>
    <w:rsid w:val="00DA285F"/>
    <w:rsid w:val="00DA2B23"/>
    <w:rsid w:val="00DA6350"/>
    <w:rsid w:val="00DB039D"/>
    <w:rsid w:val="00DB2452"/>
    <w:rsid w:val="00DB34B5"/>
    <w:rsid w:val="00DB411E"/>
    <w:rsid w:val="00DC43BC"/>
    <w:rsid w:val="00DC546F"/>
    <w:rsid w:val="00DC7727"/>
    <w:rsid w:val="00DF516A"/>
    <w:rsid w:val="00E02CFA"/>
    <w:rsid w:val="00E20C0A"/>
    <w:rsid w:val="00E2664B"/>
    <w:rsid w:val="00E275E4"/>
    <w:rsid w:val="00E32633"/>
    <w:rsid w:val="00E44D0B"/>
    <w:rsid w:val="00E5409D"/>
    <w:rsid w:val="00E83FFB"/>
    <w:rsid w:val="00E87F94"/>
    <w:rsid w:val="00E92998"/>
    <w:rsid w:val="00EA3EAC"/>
    <w:rsid w:val="00EE7C0D"/>
    <w:rsid w:val="00F028B4"/>
    <w:rsid w:val="00F10DD8"/>
    <w:rsid w:val="00F13011"/>
    <w:rsid w:val="00F1590F"/>
    <w:rsid w:val="00F22669"/>
    <w:rsid w:val="00F35919"/>
    <w:rsid w:val="00F4010B"/>
    <w:rsid w:val="00F6102A"/>
    <w:rsid w:val="00F6588E"/>
    <w:rsid w:val="00F70408"/>
    <w:rsid w:val="00F7245A"/>
    <w:rsid w:val="00F846FF"/>
    <w:rsid w:val="00FB09AC"/>
    <w:rsid w:val="00FC107E"/>
    <w:rsid w:val="00FC4E8E"/>
    <w:rsid w:val="00FC6EEC"/>
    <w:rsid w:val="00FE15E4"/>
    <w:rsid w:val="72E5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leaidx"/>
    <w:basedOn w:val="6"/>
    <w:uiPriority w:val="0"/>
  </w:style>
  <w:style w:type="character" w:customStyle="1" w:styleId="12">
    <w:name w:val="apple-converted-spac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99B1-BEFD-4984-A1C9-C23C188A47D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4155</Words>
  <Characters>4272</Characters>
  <Lines>695</Lines>
  <Paragraphs>973</Paragraphs>
  <TotalTime>18</TotalTime>
  <ScaleCrop>false</ScaleCrop>
  <LinksUpToDate>false</LinksUpToDate>
  <CharactersWithSpaces>4328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2019-03-13T01:42:00Z</dcterms:created>
  <dc:creator>user</dc:creator>
  <cp:lastModifiedBy>A solitary traveler</cp:lastModifiedBy>
  <cp:lastPrinted>2019-02-14T03:27:00Z</cp:lastPrinted>
  <dcterms:modified xsi:type="dcterms:W3CDTF">2025-03-07T09:16:19Z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eyJoZGlkIjoiYzRhYjUxOGM3ZjVkNDhmNGRlMzQwNGQ0ZTY1MTk3MTUiLCJ1c2VySWQiOiIyOTA0MDQ3NTgifQ==</vt:lpwstr>
  </property>
  <property fmtid="{D5CDD505-2E9C-101B-9397-08002B2CF9AE}" pid="3" name="KSOProductBuildVer">
    <vt:lpwstr>2052-12.1.0.20305</vt:lpwstr>
  </property>
  <property fmtid="{D5CDD505-2E9C-101B-9397-08002B2CF9AE}" pid="4" name="ICV">
    <vt:lpwstr>3507B66821A84C1C85323476D0C59B60_12</vt:lpwstr>
  </property>
</Properties>
</file>