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B159">
      <w:pPr>
        <w:spacing w:after="312" w:afterLines="100" w:line="480" w:lineRule="auto"/>
        <w:outlineLvl w:val="0"/>
        <w:rPr>
          <w:rFonts w:hint="eastAsia" w:ascii="黑体" w:hAnsi="黑体" w:eastAsia="黑体" w:cs="Times New Roman"/>
          <w:sz w:val="32"/>
          <w:szCs w:val="32"/>
          <w:lang w:val="en-US" w:eastAsia="zh-CN"/>
        </w:rPr>
      </w:pPr>
      <w:bookmarkStart w:id="10" w:name="_GoBack"/>
      <w:bookmarkEnd w:id="10"/>
      <w:r>
        <w:rPr>
          <w:rFonts w:hint="eastAsia" w:ascii="黑体" w:hAnsi="黑体" w:eastAsia="黑体" w:cs="Times New Roman"/>
          <w:sz w:val="32"/>
          <w:szCs w:val="32"/>
          <w:lang w:val="en-US" w:eastAsia="zh-CN"/>
        </w:rPr>
        <w:t>附件</w:t>
      </w:r>
    </w:p>
    <w:p w14:paraId="36D7B89F">
      <w:pPr>
        <w:adjustRightInd w:val="0"/>
        <w:snapToGrid w:val="0"/>
        <w:spacing w:line="560" w:lineRule="exact"/>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北京市知识产权保护中心</w:t>
      </w:r>
    </w:p>
    <w:p w14:paraId="1B856DE9">
      <w:pPr>
        <w:adjustRightInd w:val="0"/>
        <w:snapToGrid w:val="0"/>
        <w:spacing w:line="560" w:lineRule="exact"/>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备案主体和代理机构分级分类管理办法（试行）</w:t>
      </w:r>
    </w:p>
    <w:p w14:paraId="684D5DE2">
      <w:pPr>
        <w:adjustRightInd w:val="0"/>
        <w:snapToGrid w:val="0"/>
        <w:spacing w:line="560" w:lineRule="exact"/>
        <w:jc w:val="center"/>
        <w:rPr>
          <w:rFonts w:ascii="黑体" w:hAnsi="黑体" w:eastAsia="黑体" w:cs="黑体"/>
          <w:sz w:val="32"/>
          <w:szCs w:val="40"/>
          <w:highlight w:val="none"/>
        </w:rPr>
      </w:pPr>
    </w:p>
    <w:p w14:paraId="25BA96B6">
      <w:pPr>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第一章 总则</w:t>
      </w:r>
    </w:p>
    <w:p w14:paraId="7A2EE1C2">
      <w:pPr>
        <w:adjustRightInd w:val="0"/>
        <w:snapToGrid w:val="0"/>
        <w:spacing w:line="560" w:lineRule="exact"/>
        <w:ind w:firstLine="640" w:firstLineChars="200"/>
        <w:rPr>
          <w:rFonts w:ascii="仿宋_GB2312" w:hAnsi="宋体" w:eastAsia="仿宋_GB2312"/>
          <w:kern w:val="0"/>
          <w:sz w:val="32"/>
          <w:szCs w:val="32"/>
          <w:highlight w:val="none"/>
        </w:rPr>
      </w:pPr>
      <w:r>
        <w:rPr>
          <w:rFonts w:hint="eastAsia" w:ascii="仿宋_GB2312" w:hAnsi="宋体" w:eastAsia="仿宋_GB2312" w:cs="仿宋_GB2312"/>
          <w:b/>
          <w:bCs/>
          <w:kern w:val="0"/>
          <w:sz w:val="32"/>
          <w:szCs w:val="32"/>
          <w:highlight w:val="none"/>
        </w:rPr>
        <w:t xml:space="preserve">第一条 </w:t>
      </w:r>
      <w:r>
        <w:rPr>
          <w:rFonts w:hint="eastAsia" w:ascii="仿宋_GB2312" w:hAnsi="仿宋" w:eastAsia="仿宋_GB2312" w:cs="仿宋_GB2312"/>
          <w:sz w:val="32"/>
          <w:szCs w:val="32"/>
          <w:highlight w:val="none"/>
        </w:rPr>
        <w:t>为加强备案主体和代理机构管理，提高专利申请预审质量，支持高质量专利申请进入国家知识产权局快速审查通道，根据</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专利申请预审业务管理办法（试行）</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（国知办发办字〔2023〕25号）</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《规范申请专利行为的规定》(</w:t>
      </w:r>
      <w:bookmarkStart w:id="0" w:name="OLE_LINK7"/>
      <w:bookmarkStart w:id="1" w:name="OLE_LINK4"/>
      <w:r>
        <w:rPr>
          <w:rFonts w:hint="eastAsia" w:ascii="仿宋_GB2312" w:hAnsi="仿宋" w:eastAsia="仿宋_GB2312" w:cs="仿宋_GB2312"/>
          <w:sz w:val="32"/>
          <w:szCs w:val="32"/>
          <w:highlight w:val="none"/>
        </w:rPr>
        <w:t>国家知识产权局令第77号</w:t>
      </w:r>
      <w:bookmarkEnd w:id="0"/>
      <w:bookmarkEnd w:id="1"/>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《专利代理信用评价管理办法（试行）》（国知发运字〔2023〕10号）等有关文件要求，北京市知识产权保护中心（简称北京保护中心）结合</w:t>
      </w:r>
      <w:bookmarkStart w:id="2" w:name="OLE_LINK1"/>
      <w:r>
        <w:rPr>
          <w:rFonts w:hint="eastAsia" w:ascii="仿宋_GB2312" w:hAnsi="仿宋" w:eastAsia="仿宋_GB2312" w:cs="仿宋_GB2312"/>
          <w:sz w:val="32"/>
          <w:szCs w:val="32"/>
          <w:highlight w:val="none"/>
        </w:rPr>
        <w:t>专利预审</w:t>
      </w:r>
      <w:bookmarkEnd w:id="2"/>
      <w:r>
        <w:rPr>
          <w:rFonts w:hint="eastAsia" w:ascii="仿宋_GB2312" w:hAnsi="仿宋" w:eastAsia="仿宋_GB2312" w:cs="仿宋_GB2312"/>
          <w:sz w:val="32"/>
          <w:szCs w:val="32"/>
          <w:highlight w:val="none"/>
        </w:rPr>
        <w:t>工作实际，制定本办法。</w:t>
      </w:r>
    </w:p>
    <w:p w14:paraId="0783384D">
      <w:pPr>
        <w:adjustRightInd w:val="0"/>
        <w:snapToGrid w:val="0"/>
        <w:spacing w:line="560" w:lineRule="exact"/>
        <w:ind w:firstLine="640" w:firstLineChars="200"/>
        <w:rPr>
          <w:rFonts w:ascii="仿宋_GB2312" w:hAnsi="宋体" w:eastAsia="仿宋_GB2312" w:cs="仿宋_GB2312"/>
          <w:kern w:val="0"/>
          <w:sz w:val="32"/>
          <w:szCs w:val="32"/>
          <w:highlight w:val="none"/>
        </w:rPr>
      </w:pPr>
      <w:r>
        <w:rPr>
          <w:rFonts w:hint="eastAsia" w:ascii="仿宋_GB2312" w:hAnsi="宋体" w:eastAsia="仿宋_GB2312" w:cs="仿宋_GB2312"/>
          <w:b/>
          <w:bCs/>
          <w:kern w:val="0"/>
          <w:sz w:val="32"/>
          <w:szCs w:val="32"/>
          <w:highlight w:val="none"/>
        </w:rPr>
        <w:t xml:space="preserve">第二条 </w:t>
      </w:r>
      <w:r>
        <w:rPr>
          <w:rFonts w:hint="eastAsia" w:ascii="仿宋_GB2312" w:hAnsi="宋体" w:eastAsia="仿宋_GB2312" w:cs="仿宋_GB2312"/>
          <w:kern w:val="0"/>
          <w:sz w:val="32"/>
          <w:szCs w:val="32"/>
          <w:highlight w:val="none"/>
        </w:rPr>
        <w:t>本办法适用于在</w:t>
      </w:r>
      <w:r>
        <w:rPr>
          <w:rFonts w:hint="eastAsia" w:ascii="仿宋_GB2312" w:hAnsi="仿宋" w:eastAsia="仿宋_GB2312" w:cs="仿宋_GB2312"/>
          <w:sz w:val="32"/>
          <w:szCs w:val="32"/>
          <w:highlight w:val="none"/>
        </w:rPr>
        <w:t>北京保护中心</w:t>
      </w:r>
      <w:r>
        <w:rPr>
          <w:rFonts w:hint="eastAsia" w:ascii="仿宋_GB2312" w:hAnsi="宋体" w:eastAsia="仿宋_GB2312" w:cs="仿宋_GB2312"/>
          <w:kern w:val="0"/>
          <w:sz w:val="32"/>
          <w:szCs w:val="32"/>
          <w:highlight w:val="none"/>
        </w:rPr>
        <w:t>完成专利预审备案审核的企事业单位及完成专利预审</w:t>
      </w:r>
      <w:r>
        <w:rPr>
          <w:rFonts w:hint="eastAsia" w:ascii="仿宋" w:hAnsi="仿宋" w:eastAsia="仿宋" w:cs="仿宋"/>
          <w:sz w:val="32"/>
          <w:szCs w:val="32"/>
          <w:highlight w:val="none"/>
        </w:rPr>
        <w:t>登记的代理机构。</w:t>
      </w:r>
    </w:p>
    <w:p w14:paraId="0A359E54">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b/>
          <w:bCs/>
          <w:kern w:val="0"/>
          <w:sz w:val="32"/>
          <w:highlight w:val="none"/>
        </w:rPr>
        <w:t xml:space="preserve">第三条 </w:t>
      </w:r>
      <w:r>
        <w:rPr>
          <w:rFonts w:hint="eastAsia" w:ascii="仿宋_GB2312" w:hAnsi="宋体" w:eastAsia="仿宋_GB2312" w:cs="仿宋_GB2312"/>
          <w:kern w:val="0"/>
          <w:sz w:val="32"/>
          <w:szCs w:val="32"/>
          <w:highlight w:val="none"/>
        </w:rPr>
        <w:t>分级分类管理是指</w:t>
      </w:r>
      <w:r>
        <w:rPr>
          <w:rFonts w:hint="eastAsia" w:ascii="仿宋_GB2312" w:hAnsi="仿宋" w:eastAsia="仿宋_GB2312" w:cs="仿宋_GB2312"/>
          <w:sz w:val="32"/>
          <w:szCs w:val="32"/>
          <w:highlight w:val="none"/>
        </w:rPr>
        <w:t>北京保护中心</w:t>
      </w:r>
      <w:r>
        <w:rPr>
          <w:rFonts w:hint="eastAsia" w:ascii="仿宋_GB2312" w:hAnsi="宋体" w:eastAsia="仿宋_GB2312" w:cs="仿宋_GB2312"/>
          <w:kern w:val="0"/>
          <w:sz w:val="32"/>
          <w:szCs w:val="32"/>
          <w:highlight w:val="none"/>
        </w:rPr>
        <w:t>建立备案主体和代理机构</w:t>
      </w:r>
      <w:r>
        <w:rPr>
          <w:rFonts w:hint="eastAsia" w:ascii="仿宋_GB2312" w:hAnsi="Helvetica" w:eastAsia="仿宋_GB2312" w:cs="Helvetica"/>
          <w:kern w:val="0"/>
          <w:sz w:val="32"/>
          <w:szCs w:val="32"/>
          <w:highlight w:val="none"/>
        </w:rPr>
        <w:t>评价指标体系，根据量化的评价结果，分级分类实施专利预审服务和管理。</w:t>
      </w:r>
    </w:p>
    <w:p w14:paraId="2EE137EE">
      <w:pPr>
        <w:widowControl/>
        <w:adjustRightInd w:val="0"/>
        <w:snapToGrid w:val="0"/>
        <w:spacing w:line="56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宋体" w:eastAsia="仿宋_GB2312" w:cs="仿宋_GB2312"/>
          <w:b/>
          <w:bCs/>
          <w:kern w:val="0"/>
          <w:sz w:val="32"/>
          <w:szCs w:val="32"/>
          <w:highlight w:val="none"/>
        </w:rPr>
        <w:t xml:space="preserve">第四条 </w:t>
      </w:r>
      <w:r>
        <w:rPr>
          <w:rFonts w:hint="eastAsia" w:ascii="仿宋_GB2312" w:hAnsi="仿宋" w:eastAsia="仿宋_GB2312" w:cs="仿宋_GB2312"/>
          <w:sz w:val="32"/>
          <w:szCs w:val="32"/>
          <w:highlight w:val="none"/>
        </w:rPr>
        <w:t>北京保护中心</w:t>
      </w:r>
      <w:r>
        <w:rPr>
          <w:rFonts w:hint="eastAsia" w:ascii="仿宋_GB2312" w:hAnsi="Helvetica" w:eastAsia="仿宋_GB2312" w:cs="Helvetica"/>
          <w:kern w:val="0"/>
          <w:sz w:val="32"/>
          <w:szCs w:val="32"/>
          <w:highlight w:val="none"/>
        </w:rPr>
        <w:t>专利预审工</w:t>
      </w:r>
      <w:r>
        <w:rPr>
          <w:rFonts w:hint="eastAsia" w:ascii="仿宋_GB2312" w:hAnsi="仿宋_GB2312" w:eastAsia="仿宋_GB2312" w:cs="仿宋_GB2312"/>
          <w:kern w:val="0"/>
          <w:sz w:val="32"/>
          <w:szCs w:val="32"/>
          <w:highlight w:val="none"/>
        </w:rPr>
        <w:t>作坚持高质量导向，重点支持技术或者产品更新速度快、技术成果转化运用前景好、亟需抢占市场先机等确有加快需求的发明创造，精准服务国家及北京市战略科技力量，有力支撑北京国际科技创新中心建设。</w:t>
      </w:r>
    </w:p>
    <w:p w14:paraId="267227A9">
      <w:pPr>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第二章 备案主体分级分类评价及管理</w:t>
      </w:r>
    </w:p>
    <w:p w14:paraId="30ABC9DF">
      <w:pPr>
        <w:adjustRightInd w:val="0"/>
        <w:snapToGrid w:val="0"/>
        <w:spacing w:line="560" w:lineRule="exact"/>
        <w:ind w:firstLine="640" w:firstLineChars="200"/>
        <w:rPr>
          <w:rFonts w:ascii="黑体" w:hAnsi="黑体" w:eastAsia="黑体" w:cs="黑体"/>
          <w:sz w:val="32"/>
          <w:szCs w:val="40"/>
          <w:highlight w:val="none"/>
        </w:rPr>
      </w:pPr>
      <w:r>
        <w:rPr>
          <w:rFonts w:hint="eastAsia" w:ascii="仿宋_GB2312" w:hAnsi="宋体" w:eastAsia="仿宋_GB2312" w:cs="仿宋_GB2312"/>
          <w:b/>
          <w:bCs/>
          <w:kern w:val="0"/>
          <w:sz w:val="32"/>
          <w:szCs w:val="32"/>
          <w:highlight w:val="none"/>
        </w:rPr>
        <w:t xml:space="preserve">第五条 </w:t>
      </w:r>
      <w:r>
        <w:rPr>
          <w:rFonts w:hint="eastAsia" w:ascii="仿宋_GB2312" w:hAnsi="Helvetica" w:eastAsia="仿宋_GB2312" w:cs="Helvetica"/>
          <w:kern w:val="0"/>
          <w:sz w:val="32"/>
          <w:szCs w:val="32"/>
          <w:highlight w:val="none"/>
        </w:rPr>
        <w:t>备案主体分为企业类和非企业类实施专利预审管理。企业类备案主体应当建立专利申请预审请求内部遴选机制，专利申请预审请求所涉技术应当是与其主营业务密切相关且能推广应用的核心技术。非企业类备案主体应当建立专利申请预审请求内部推荐机制，由内部知识产权管理部门统筹，择优推荐专利转化运用需求迫切的专利申请提交预审请求，提交预审请求时</w:t>
      </w:r>
      <w:r>
        <w:rPr>
          <w:rFonts w:hint="eastAsia" w:ascii="仿宋_GB2312" w:hAnsi="Helvetica" w:eastAsia="仿宋_GB2312" w:cs="Helvetica"/>
          <w:color w:val="000000"/>
          <w:kern w:val="0"/>
          <w:sz w:val="32"/>
          <w:szCs w:val="32"/>
          <w:highlight w:val="none"/>
        </w:rPr>
        <w:t>应当附交加盖单位公章的专利申请预审请求</w:t>
      </w:r>
      <w:r>
        <w:rPr>
          <w:rFonts w:hint="eastAsia" w:ascii="仿宋_GB2312" w:hAnsi="Helvetica" w:eastAsia="仿宋_GB2312" w:cs="Helvetica"/>
          <w:kern w:val="0"/>
          <w:sz w:val="32"/>
          <w:szCs w:val="32"/>
          <w:highlight w:val="none"/>
        </w:rPr>
        <w:t>推荐函。</w:t>
      </w:r>
    </w:p>
    <w:p w14:paraId="6200BE94">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宋体" w:eastAsia="仿宋_GB2312" w:cs="仿宋_GB2312"/>
          <w:b/>
          <w:bCs/>
          <w:kern w:val="0"/>
          <w:sz w:val="32"/>
          <w:szCs w:val="32"/>
          <w:highlight w:val="none"/>
        </w:rPr>
        <w:t xml:space="preserve">第六条 </w:t>
      </w:r>
      <w:bookmarkStart w:id="3" w:name="OLE_LINK9"/>
      <w:bookmarkStart w:id="4" w:name="OLE_LINK8"/>
      <w:r>
        <w:rPr>
          <w:rFonts w:hint="eastAsia" w:ascii="仿宋_GB2312" w:hAnsi="Helvetica" w:eastAsia="仿宋_GB2312" w:cs="Helvetica"/>
          <w:kern w:val="0"/>
          <w:sz w:val="32"/>
          <w:szCs w:val="32"/>
          <w:highlight w:val="none"/>
        </w:rPr>
        <w:t>备案主体分级评价设置基础指标、加分指标和扣分指标（附件1）</w:t>
      </w:r>
      <w:bookmarkEnd w:id="3"/>
      <w:bookmarkEnd w:id="4"/>
      <w:r>
        <w:rPr>
          <w:rFonts w:hint="eastAsia" w:ascii="仿宋_GB2312" w:hAnsi="Helvetica" w:eastAsia="仿宋_GB2312" w:cs="Helvetica"/>
          <w:kern w:val="0"/>
          <w:sz w:val="32"/>
          <w:szCs w:val="32"/>
          <w:highlight w:val="none"/>
        </w:rPr>
        <w:t>。根据预审质量、资质荣誉、工作配合、专利转化运用、信用情况等，将备案主体从高到低顺序分为A、B、C三个等级。</w:t>
      </w:r>
    </w:p>
    <w:p w14:paraId="25019EA8">
      <w:pPr>
        <w:widowControl/>
        <w:adjustRightInd w:val="0"/>
        <w:snapToGrid w:val="0"/>
        <w:spacing w:line="560" w:lineRule="exact"/>
        <w:ind w:firstLine="640" w:firstLineChars="200"/>
        <w:rPr>
          <w:rFonts w:ascii="黑体" w:hAnsi="黑体" w:eastAsia="黑体" w:cs="黑体"/>
          <w:kern w:val="0"/>
          <w:sz w:val="32"/>
          <w:highlight w:val="none"/>
        </w:rPr>
      </w:pPr>
      <w:r>
        <w:rPr>
          <w:rFonts w:hint="eastAsia" w:ascii="仿宋_GB2312" w:hAnsi="Helvetica" w:eastAsia="仿宋_GB2312" w:cs="Helvetica"/>
          <w:b/>
          <w:bCs/>
          <w:kern w:val="0"/>
          <w:sz w:val="32"/>
          <w:szCs w:val="32"/>
          <w:highlight w:val="none"/>
        </w:rPr>
        <w:t xml:space="preserve">第七条 </w:t>
      </w:r>
      <w:r>
        <w:rPr>
          <w:rFonts w:hint="eastAsia" w:ascii="仿宋_GB2312" w:hAnsi="Helvetica" w:eastAsia="仿宋_GB2312" w:cs="Helvetica"/>
          <w:kern w:val="0"/>
          <w:sz w:val="32"/>
          <w:szCs w:val="32"/>
          <w:highlight w:val="none"/>
        </w:rPr>
        <w:t>对于A级备案主体：</w:t>
      </w:r>
    </w:p>
    <w:p w14:paraId="0F726574">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（一）纳入精准服务名单，提供有针对性的专利预审、维权援助、纠纷调解、专利导航等服务；</w:t>
      </w:r>
    </w:p>
    <w:p w14:paraId="213B066E">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（二）在批量预审、专利预审员实践基地等专项服务中予以优先支持；</w:t>
      </w:r>
    </w:p>
    <w:p w14:paraId="29BA8120">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（三）专利预审相关先进经验或典型案例，给予宣传推广。</w:t>
      </w:r>
    </w:p>
    <w:p w14:paraId="1C63E215">
      <w:pPr>
        <w:widowControl/>
        <w:adjustRightInd w:val="0"/>
        <w:snapToGrid w:val="0"/>
        <w:spacing w:line="560" w:lineRule="exact"/>
        <w:ind w:firstLine="640" w:firstLineChars="200"/>
        <w:rPr>
          <w:rFonts w:ascii="仿宋_GB2312" w:hAnsi="宋体" w:eastAsia="仿宋_GB2312" w:cs="仿宋_GB2312"/>
          <w:kern w:val="0"/>
          <w:sz w:val="32"/>
          <w:szCs w:val="32"/>
          <w:highlight w:val="none"/>
        </w:rPr>
      </w:pPr>
      <w:r>
        <w:rPr>
          <w:rFonts w:hint="eastAsia" w:ascii="仿宋_GB2312" w:hAnsi="宋体" w:eastAsia="仿宋_GB2312" w:cs="仿宋_GB2312"/>
          <w:b/>
          <w:bCs/>
          <w:kern w:val="0"/>
          <w:sz w:val="32"/>
          <w:szCs w:val="32"/>
          <w:highlight w:val="none"/>
        </w:rPr>
        <w:t xml:space="preserve">第八条 </w:t>
      </w:r>
      <w:r>
        <w:rPr>
          <w:rFonts w:hint="eastAsia" w:ascii="仿宋_GB2312" w:hAnsi="宋体" w:eastAsia="仿宋_GB2312" w:cs="仿宋_GB2312"/>
          <w:kern w:val="0"/>
          <w:sz w:val="32"/>
          <w:szCs w:val="32"/>
          <w:highlight w:val="none"/>
        </w:rPr>
        <w:t>对于B级备案主体：</w:t>
      </w:r>
    </w:p>
    <w:p w14:paraId="2D3E29A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（一）动态监测专利申请预审质量，引导其提交高质量、确有加快需求的专利申请预审请求；</w:t>
      </w:r>
    </w:p>
    <w:p w14:paraId="67E1D75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（二）视情形要求提交与技术方案密切相关的研发证明等材料；</w:t>
      </w:r>
    </w:p>
    <w:p w14:paraId="65C568D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w:t>
      </w:r>
      <w:bookmarkStart w:id="5" w:name="OLE_LINK16"/>
      <w:bookmarkStart w:id="6" w:name="OLE_LINK15"/>
      <w:r>
        <w:rPr>
          <w:rFonts w:hint="eastAsia" w:ascii="仿宋_GB2312" w:eastAsia="仿宋_GB2312"/>
          <w:sz w:val="32"/>
          <w:szCs w:val="32"/>
          <w:highlight w:val="none"/>
        </w:rPr>
        <w:t>专利申请预审请求数量超过其上一年度专利授权量的20%后，提交专利申请预审请求</w:t>
      </w:r>
      <w:bookmarkEnd w:id="5"/>
      <w:bookmarkEnd w:id="6"/>
      <w:r>
        <w:rPr>
          <w:rFonts w:hint="eastAsia" w:ascii="仿宋_GB2312" w:eastAsia="仿宋_GB2312"/>
          <w:sz w:val="32"/>
          <w:szCs w:val="32"/>
          <w:highlight w:val="none"/>
        </w:rPr>
        <w:t>时应当附交专利申请加快审查的理由。</w:t>
      </w:r>
    </w:p>
    <w:p w14:paraId="0F46FCF8">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宋体" w:eastAsia="仿宋_GB2312" w:cs="仿宋_GB2312"/>
          <w:b/>
          <w:bCs/>
          <w:kern w:val="0"/>
          <w:sz w:val="32"/>
          <w:szCs w:val="32"/>
          <w:highlight w:val="none"/>
        </w:rPr>
        <w:t xml:space="preserve">第九条 </w:t>
      </w:r>
      <w:r>
        <w:rPr>
          <w:rFonts w:hint="eastAsia" w:ascii="仿宋_GB2312" w:hAnsi="宋体" w:eastAsia="仿宋_GB2312" w:cs="仿宋_GB2312"/>
          <w:kern w:val="0"/>
          <w:sz w:val="32"/>
          <w:szCs w:val="32"/>
          <w:highlight w:val="none"/>
        </w:rPr>
        <w:t>对于C级备</w:t>
      </w:r>
      <w:r>
        <w:rPr>
          <w:rFonts w:hint="eastAsia" w:ascii="仿宋_GB2312" w:hAnsi="Helvetica" w:eastAsia="仿宋_GB2312" w:cs="Helvetica"/>
          <w:kern w:val="0"/>
          <w:sz w:val="32"/>
          <w:szCs w:val="32"/>
          <w:highlight w:val="none"/>
        </w:rPr>
        <w:t>案主体：</w:t>
      </w:r>
    </w:p>
    <w:p w14:paraId="07196DC4">
      <w:pPr>
        <w:widowControl/>
        <w:adjustRightInd w:val="0"/>
        <w:snapToGrid w:val="0"/>
        <w:spacing w:line="560" w:lineRule="exact"/>
        <w:ind w:firstLine="640" w:firstLineChars="200"/>
        <w:jc w:val="left"/>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（一）加强专利预审行为管理，提高抽查检查频次，视情况进行约谈，督促其提高专利申请预审质量；</w:t>
      </w:r>
    </w:p>
    <w:p w14:paraId="76EF8531">
      <w:pPr>
        <w:widowControl/>
        <w:adjustRightInd w:val="0"/>
        <w:snapToGrid w:val="0"/>
        <w:spacing w:line="560" w:lineRule="exact"/>
        <w:ind w:firstLine="640" w:firstLineChars="200"/>
        <w:jc w:val="left"/>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（二）提交专利申请预审请求时应当附交与技术方案密切相关的研发证明材料、专利申请加快审查理由等。</w:t>
      </w:r>
    </w:p>
    <w:p w14:paraId="0A9A9C5D">
      <w:pPr>
        <w:widowControl/>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第三章 代理机构分级评价及管理</w:t>
      </w:r>
    </w:p>
    <w:p w14:paraId="15F36CF3">
      <w:pPr>
        <w:widowControl/>
        <w:adjustRightInd w:val="0"/>
        <w:snapToGrid w:val="0"/>
        <w:spacing w:line="560" w:lineRule="exact"/>
        <w:ind w:firstLine="640" w:firstLineChars="200"/>
        <w:rPr>
          <w:rFonts w:ascii="仿宋_GB2312" w:hAnsi="Helvetica" w:eastAsia="仿宋_GB2312" w:cs="Helvetica"/>
          <w:b/>
          <w:bCs/>
          <w:kern w:val="0"/>
          <w:sz w:val="32"/>
          <w:szCs w:val="32"/>
          <w:highlight w:val="none"/>
        </w:rPr>
      </w:pPr>
      <w:r>
        <w:rPr>
          <w:rFonts w:hint="eastAsia" w:ascii="仿宋_GB2312" w:hAnsi="宋体" w:eastAsia="仿宋_GB2312" w:cs="仿宋_GB2312"/>
          <w:b/>
          <w:bCs/>
          <w:kern w:val="0"/>
          <w:sz w:val="32"/>
          <w:szCs w:val="32"/>
          <w:highlight w:val="none"/>
        </w:rPr>
        <w:t>第</w:t>
      </w:r>
      <w:r>
        <w:rPr>
          <w:rFonts w:hint="eastAsia" w:ascii="仿宋_GB2312" w:hAnsi="Helvetica" w:eastAsia="仿宋_GB2312" w:cs="Helvetica"/>
          <w:b/>
          <w:bCs/>
          <w:kern w:val="0"/>
          <w:sz w:val="32"/>
          <w:szCs w:val="32"/>
          <w:highlight w:val="none"/>
        </w:rPr>
        <w:t>十</w:t>
      </w:r>
      <w:r>
        <w:rPr>
          <w:rFonts w:hint="eastAsia" w:ascii="仿宋_GB2312" w:hAnsi="宋体" w:eastAsia="仿宋_GB2312" w:cs="仿宋_GB2312"/>
          <w:b/>
          <w:bCs/>
          <w:kern w:val="0"/>
          <w:sz w:val="32"/>
          <w:szCs w:val="32"/>
          <w:highlight w:val="none"/>
        </w:rPr>
        <w:t xml:space="preserve">条 </w:t>
      </w:r>
      <w:r>
        <w:rPr>
          <w:rFonts w:hint="eastAsia" w:ascii="仿宋_GB2312" w:hAnsi="Helvetica" w:eastAsia="仿宋_GB2312" w:cs="Helvetica"/>
          <w:kern w:val="0"/>
          <w:sz w:val="32"/>
          <w:szCs w:val="32"/>
          <w:highlight w:val="none"/>
        </w:rPr>
        <w:t>代理机构应当提高专利申请预审请求撰写质量，积极配合备案主体做好专利申请预审前评估和筛选，规范提交专利申请预审请求。</w:t>
      </w:r>
    </w:p>
    <w:p w14:paraId="25476D84">
      <w:pPr>
        <w:widowControl/>
        <w:adjustRightInd w:val="0"/>
        <w:snapToGrid w:val="0"/>
        <w:spacing w:line="560" w:lineRule="exact"/>
        <w:ind w:firstLine="640" w:firstLineChars="200"/>
        <w:jc w:val="left"/>
        <w:rPr>
          <w:rFonts w:ascii="仿宋_GB2312" w:hAnsi="宋体" w:eastAsia="仿宋_GB2312" w:cs="仿宋_GB2312"/>
          <w:kern w:val="0"/>
          <w:sz w:val="32"/>
          <w:szCs w:val="32"/>
          <w:highlight w:val="none"/>
        </w:rPr>
      </w:pPr>
      <w:r>
        <w:rPr>
          <w:rFonts w:hint="eastAsia" w:ascii="仿宋_GB2312" w:hAnsi="Helvetica" w:eastAsia="仿宋_GB2312" w:cs="Helvetica"/>
          <w:b/>
          <w:bCs/>
          <w:kern w:val="0"/>
          <w:sz w:val="32"/>
          <w:szCs w:val="32"/>
          <w:highlight w:val="none"/>
        </w:rPr>
        <w:t>第十</w:t>
      </w:r>
      <w:r>
        <w:rPr>
          <w:rFonts w:hint="eastAsia" w:ascii="仿宋_GB2312" w:hAnsi="宋体" w:eastAsia="仿宋_GB2312" w:cs="仿宋_GB2312"/>
          <w:b/>
          <w:bCs/>
          <w:kern w:val="0"/>
          <w:sz w:val="32"/>
          <w:szCs w:val="32"/>
          <w:highlight w:val="none"/>
        </w:rPr>
        <w:t>一</w:t>
      </w:r>
      <w:r>
        <w:rPr>
          <w:rFonts w:hint="eastAsia" w:ascii="仿宋_GB2312" w:hAnsi="Helvetica" w:eastAsia="仿宋_GB2312" w:cs="Helvetica"/>
          <w:b/>
          <w:bCs/>
          <w:kern w:val="0"/>
          <w:sz w:val="32"/>
          <w:szCs w:val="32"/>
          <w:highlight w:val="none"/>
        </w:rPr>
        <w:t xml:space="preserve">条 </w:t>
      </w:r>
      <w:r>
        <w:rPr>
          <w:rFonts w:hint="eastAsia" w:ascii="仿宋_GB2312" w:hAnsi="Helvetica" w:eastAsia="仿宋_GB2312" w:cs="Helvetica"/>
          <w:kern w:val="0"/>
          <w:sz w:val="32"/>
          <w:szCs w:val="32"/>
          <w:highlight w:val="none"/>
        </w:rPr>
        <w:t>代理机构分级评价设置基础指标、加分指标和扣分指标（附件2），</w:t>
      </w:r>
      <w:r>
        <w:rPr>
          <w:rFonts w:hint="eastAsia" w:ascii="仿宋_GB2312" w:hAnsi="宋体" w:eastAsia="仿宋_GB2312" w:cs="仿宋_GB2312"/>
          <w:kern w:val="0"/>
          <w:sz w:val="32"/>
          <w:szCs w:val="32"/>
          <w:highlight w:val="none"/>
        </w:rPr>
        <w:t>根据预审质量、</w:t>
      </w:r>
      <w:r>
        <w:rPr>
          <w:rFonts w:hint="eastAsia" w:ascii="仿宋_GB2312" w:hAnsi="Helvetica" w:eastAsia="仿宋_GB2312" w:cs="Helvetica"/>
          <w:kern w:val="0"/>
          <w:sz w:val="32"/>
          <w:szCs w:val="32"/>
          <w:highlight w:val="none"/>
        </w:rPr>
        <w:t>相关荣誉、工作配合、信用情况</w:t>
      </w:r>
      <w:r>
        <w:rPr>
          <w:rFonts w:hint="eastAsia" w:ascii="仿宋_GB2312" w:hAnsi="宋体" w:eastAsia="仿宋_GB2312" w:cs="仿宋_GB2312"/>
          <w:kern w:val="0"/>
          <w:sz w:val="32"/>
          <w:szCs w:val="32"/>
          <w:highlight w:val="none"/>
        </w:rPr>
        <w:t>等，将代理机构从高到低顺序分为A、B、C三个等级。</w:t>
      </w:r>
    </w:p>
    <w:p w14:paraId="0EABA4C7">
      <w:pPr>
        <w:widowControl/>
        <w:adjustRightInd w:val="0"/>
        <w:snapToGrid w:val="0"/>
        <w:spacing w:line="560" w:lineRule="exact"/>
        <w:ind w:firstLine="640" w:firstLineChars="200"/>
        <w:rPr>
          <w:rFonts w:ascii="黑体" w:hAnsi="黑体" w:eastAsia="黑体" w:cs="黑体"/>
          <w:kern w:val="0"/>
          <w:sz w:val="32"/>
          <w:highlight w:val="none"/>
        </w:rPr>
      </w:pPr>
      <w:r>
        <w:rPr>
          <w:rFonts w:hint="eastAsia" w:ascii="仿宋_GB2312" w:hAnsi="宋体" w:eastAsia="仿宋_GB2312" w:cs="仿宋_GB2312"/>
          <w:b/>
          <w:bCs/>
          <w:kern w:val="0"/>
          <w:sz w:val="32"/>
          <w:szCs w:val="32"/>
          <w:highlight w:val="none"/>
        </w:rPr>
        <w:t xml:space="preserve">第十二条 </w:t>
      </w:r>
      <w:r>
        <w:rPr>
          <w:rFonts w:hint="eastAsia" w:ascii="仿宋_GB2312" w:hAnsi="Helvetica" w:eastAsia="仿宋_GB2312" w:cs="Helvetica"/>
          <w:kern w:val="0"/>
          <w:sz w:val="32"/>
          <w:szCs w:val="32"/>
          <w:highlight w:val="none"/>
        </w:rPr>
        <w:t>对于A级代理机构：</w:t>
      </w:r>
    </w:p>
    <w:p w14:paraId="3CE6FF2C">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（一）专利预审相关先进经验或典型案例，给予宣传推广；</w:t>
      </w:r>
    </w:p>
    <w:p w14:paraId="0754A045">
      <w:pPr>
        <w:widowControl/>
        <w:spacing w:line="560" w:lineRule="exact"/>
        <w:ind w:firstLine="640" w:firstLineChars="200"/>
        <w:jc w:val="left"/>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（二）</w:t>
      </w:r>
      <w:r>
        <w:rPr>
          <w:rFonts w:hint="eastAsia" w:ascii="仿宋_GB2312" w:hAnsi="Helvetica" w:eastAsia="仿宋_GB2312" w:cs="Helvetica"/>
          <w:color w:val="000000"/>
          <w:kern w:val="0"/>
          <w:sz w:val="32"/>
          <w:szCs w:val="32"/>
          <w:highlight w:val="none"/>
        </w:rPr>
        <w:t>减少抽查检查频次</w:t>
      </w:r>
      <w:r>
        <w:rPr>
          <w:rFonts w:hint="eastAsia" w:ascii="仿宋_GB2312" w:hAnsi="Helvetica" w:eastAsia="仿宋_GB2312" w:cs="Helvetica"/>
          <w:kern w:val="0"/>
          <w:sz w:val="32"/>
          <w:szCs w:val="32"/>
          <w:highlight w:val="none"/>
        </w:rPr>
        <w:t>。</w:t>
      </w:r>
    </w:p>
    <w:p w14:paraId="24314F41">
      <w:pPr>
        <w:widowControl/>
        <w:adjustRightInd w:val="0"/>
        <w:snapToGrid w:val="0"/>
        <w:spacing w:line="560" w:lineRule="exact"/>
        <w:ind w:firstLine="640" w:firstLineChars="200"/>
        <w:rPr>
          <w:rFonts w:ascii="仿宋_GB2312" w:hAnsi="宋体" w:eastAsia="仿宋_GB2312" w:cs="仿宋_GB2312"/>
          <w:kern w:val="0"/>
          <w:sz w:val="32"/>
          <w:szCs w:val="32"/>
          <w:highlight w:val="none"/>
        </w:rPr>
      </w:pPr>
      <w:r>
        <w:rPr>
          <w:rFonts w:hint="eastAsia" w:ascii="仿宋_GB2312" w:hAnsi="宋体" w:eastAsia="仿宋_GB2312" w:cs="仿宋_GB2312"/>
          <w:b/>
          <w:bCs/>
          <w:kern w:val="0"/>
          <w:sz w:val="32"/>
          <w:szCs w:val="32"/>
          <w:highlight w:val="none"/>
        </w:rPr>
        <w:t xml:space="preserve">第十三条 </w:t>
      </w:r>
      <w:r>
        <w:rPr>
          <w:rFonts w:hint="eastAsia" w:ascii="仿宋_GB2312" w:hAnsi="宋体" w:eastAsia="仿宋_GB2312" w:cs="仿宋_GB2312"/>
          <w:kern w:val="0"/>
          <w:sz w:val="32"/>
          <w:szCs w:val="32"/>
          <w:highlight w:val="none"/>
        </w:rPr>
        <w:t>对于B级代理机构：</w:t>
      </w:r>
    </w:p>
    <w:p w14:paraId="691B1ABE">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（一）动态监测专利申请预审质量，引导其提高专利申请预审请求撰写质量；</w:t>
      </w:r>
    </w:p>
    <w:p w14:paraId="3728DA48">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（二）视情形要求提交与技术方案密切相关的研发证明等材料。</w:t>
      </w:r>
    </w:p>
    <w:p w14:paraId="1D939ACA">
      <w:pPr>
        <w:spacing w:line="560" w:lineRule="exact"/>
        <w:ind w:firstLine="640" w:firstLineChars="200"/>
        <w:rPr>
          <w:rFonts w:ascii="仿宋_GB2312" w:eastAsia="仿宋_GB2312"/>
          <w:sz w:val="32"/>
          <w:szCs w:val="32"/>
          <w:highlight w:val="none"/>
        </w:rPr>
      </w:pPr>
      <w:r>
        <w:rPr>
          <w:rFonts w:hint="eastAsia" w:ascii="仿宋_GB2312" w:eastAsia="仿宋_GB2312"/>
          <w:b/>
          <w:sz w:val="32"/>
          <w:szCs w:val="32"/>
          <w:highlight w:val="none"/>
        </w:rPr>
        <w:t>第十四条</w:t>
      </w:r>
      <w:r>
        <w:rPr>
          <w:rFonts w:hint="eastAsia" w:ascii="仿宋_GB2312" w:eastAsia="仿宋_GB2312"/>
          <w:sz w:val="32"/>
          <w:szCs w:val="32"/>
          <w:highlight w:val="none"/>
        </w:rPr>
        <w:t xml:space="preserve"> 对于C级代理机构：</w:t>
      </w:r>
    </w:p>
    <w:p w14:paraId="563D034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（一）加强专利预审行为管理，提高抽查检查频次，视情况进行约谈，督促其提高专利申请预审请求撰写质量；</w:t>
      </w:r>
    </w:p>
    <w:p w14:paraId="1B6C4490">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（二）提交专利申请预审请求时应当附交与技术方案密切相关的研发证明材料、专利申请加快审查理由等。</w:t>
      </w:r>
    </w:p>
    <w:p w14:paraId="3F64F62F">
      <w:pPr>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第四章 分级分类评价管理的实施</w:t>
      </w:r>
    </w:p>
    <w:p w14:paraId="529700CE">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宋体" w:eastAsia="仿宋_GB2312" w:cs="仿宋_GB2312"/>
          <w:b/>
          <w:bCs/>
          <w:kern w:val="0"/>
          <w:sz w:val="32"/>
          <w:szCs w:val="32"/>
          <w:highlight w:val="none"/>
        </w:rPr>
        <w:t>第十</w:t>
      </w:r>
      <w:r>
        <w:rPr>
          <w:rFonts w:hint="eastAsia" w:ascii="仿宋_GB2312" w:hAnsi="Helvetica" w:eastAsia="仿宋_GB2312" w:cs="Helvetica"/>
          <w:b/>
          <w:bCs/>
          <w:kern w:val="0"/>
          <w:sz w:val="32"/>
          <w:szCs w:val="32"/>
          <w:highlight w:val="none"/>
        </w:rPr>
        <w:t>五</w:t>
      </w:r>
      <w:r>
        <w:rPr>
          <w:rFonts w:hint="eastAsia" w:ascii="仿宋_GB2312" w:hAnsi="宋体" w:eastAsia="仿宋_GB2312" w:cs="仿宋_GB2312"/>
          <w:b/>
          <w:bCs/>
          <w:kern w:val="0"/>
          <w:sz w:val="32"/>
          <w:szCs w:val="32"/>
          <w:highlight w:val="none"/>
        </w:rPr>
        <w:t xml:space="preserve">条 </w:t>
      </w:r>
      <w:r>
        <w:rPr>
          <w:rFonts w:hint="eastAsia" w:ascii="仿宋_GB2312" w:hAnsi="仿宋" w:eastAsia="仿宋_GB2312" w:cs="仿宋_GB2312"/>
          <w:sz w:val="32"/>
          <w:szCs w:val="32"/>
          <w:highlight w:val="none"/>
        </w:rPr>
        <w:t>北京保护中心</w:t>
      </w:r>
      <w:r>
        <w:rPr>
          <w:rFonts w:hint="eastAsia" w:ascii="仿宋_GB2312" w:hAnsi="Helvetica" w:eastAsia="仿宋_GB2312" w:cs="Helvetica"/>
          <w:kern w:val="0"/>
          <w:sz w:val="32"/>
          <w:szCs w:val="32"/>
          <w:highlight w:val="none"/>
        </w:rPr>
        <w:t>制定备案主体和代理机构分级评价指标，依指标开展等级评价工作，并根据评价结果实施分级动态管理，具体指标内容将依据相关政策及专利申请预审请求质量动态调整。</w:t>
      </w:r>
    </w:p>
    <w:p w14:paraId="3A5FE9A2">
      <w:pPr>
        <w:widowControl/>
        <w:adjustRightInd w:val="0"/>
        <w:snapToGrid w:val="0"/>
        <w:spacing w:line="560" w:lineRule="exact"/>
        <w:ind w:firstLine="640" w:firstLineChars="200"/>
        <w:rPr>
          <w:rFonts w:ascii="仿宋_GB2312" w:hAnsi="Helvetica" w:eastAsia="仿宋_GB2312" w:cs="Helvetica"/>
          <w:b/>
          <w:bCs/>
          <w:kern w:val="0"/>
          <w:sz w:val="32"/>
          <w:szCs w:val="32"/>
          <w:highlight w:val="none"/>
        </w:rPr>
      </w:pPr>
      <w:r>
        <w:rPr>
          <w:rFonts w:hint="eastAsia" w:ascii="仿宋_GB2312" w:hAnsi="Helvetica" w:eastAsia="仿宋_GB2312" w:cs="Helvetica"/>
          <w:b/>
          <w:bCs/>
          <w:kern w:val="0"/>
          <w:sz w:val="32"/>
          <w:szCs w:val="32"/>
          <w:highlight w:val="none"/>
        </w:rPr>
        <w:t xml:space="preserve">第十六条 </w:t>
      </w:r>
      <w:r>
        <w:rPr>
          <w:rFonts w:hint="eastAsia" w:ascii="仿宋_GB2312" w:hAnsi="Helvetica" w:eastAsia="仿宋_GB2312" w:cs="Helvetica"/>
          <w:kern w:val="0"/>
          <w:sz w:val="32"/>
          <w:szCs w:val="32"/>
          <w:highlight w:val="none"/>
        </w:rPr>
        <w:t>备案主体委托代理机构请求专利申请预审的，按照备案主体和其委托的代理机构的最低等级进行专利预审服务和管理。对于多个申请人的，按第一申请人的评价等级进行专利预审服务和管理。</w:t>
      </w:r>
    </w:p>
    <w:p w14:paraId="660D7F52">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b/>
          <w:bCs/>
          <w:kern w:val="0"/>
          <w:sz w:val="32"/>
          <w:szCs w:val="32"/>
          <w:highlight w:val="none"/>
        </w:rPr>
        <w:t>第十</w:t>
      </w:r>
      <w:r>
        <w:rPr>
          <w:rFonts w:hint="eastAsia" w:ascii="仿宋_GB2312" w:hAnsi="宋体" w:eastAsia="仿宋_GB2312" w:cs="仿宋_GB2312"/>
          <w:b/>
          <w:bCs/>
          <w:kern w:val="0"/>
          <w:sz w:val="32"/>
          <w:szCs w:val="32"/>
          <w:highlight w:val="none"/>
        </w:rPr>
        <w:t>七</w:t>
      </w:r>
      <w:r>
        <w:rPr>
          <w:rFonts w:hint="eastAsia" w:ascii="仿宋_GB2312" w:hAnsi="Helvetica" w:eastAsia="仿宋_GB2312" w:cs="Helvetica"/>
          <w:b/>
          <w:bCs/>
          <w:kern w:val="0"/>
          <w:sz w:val="32"/>
          <w:szCs w:val="32"/>
          <w:highlight w:val="none"/>
        </w:rPr>
        <w:t xml:space="preserve">条 </w:t>
      </w:r>
      <w:r>
        <w:rPr>
          <w:rFonts w:hint="eastAsia" w:ascii="仿宋_GB2312" w:hAnsi="Helvetica" w:eastAsia="仿宋_GB2312" w:cs="Helvetica"/>
          <w:kern w:val="0"/>
          <w:sz w:val="32"/>
          <w:szCs w:val="32"/>
          <w:highlight w:val="none"/>
        </w:rPr>
        <w:t>评价指标信息来源，包括但不限于：</w:t>
      </w:r>
    </w:p>
    <w:p w14:paraId="5410BF9E">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（一）北京保护中心信息平台、国家知识产权局智能化专利检索及分析系统、国家知识产权公共服务平台知识产权代理管理系统中的信息；</w:t>
      </w:r>
    </w:p>
    <w:p w14:paraId="4EAA2E2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（二）国家知识产权局或地方知识产权管理部门行政管理过程中产生的信息；</w:t>
      </w:r>
    </w:p>
    <w:p w14:paraId="5AA3FB7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（三）备案主体、代理机构向北京保护中心提供的信息，包括但不限于预审合格后授权专利获奖、专利转化运用、专利预审相关典型案例等材料；</w:t>
      </w:r>
    </w:p>
    <w:p w14:paraId="0F1547B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（四）专利预审管理工作中产生的信息；</w:t>
      </w:r>
    </w:p>
    <w:p w14:paraId="0D87FFA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（五）其他公开信息。</w:t>
      </w:r>
    </w:p>
    <w:p w14:paraId="2A5FAD35">
      <w:pPr>
        <w:widowControl/>
        <w:adjustRightInd w:val="0"/>
        <w:snapToGrid w:val="0"/>
        <w:spacing w:line="560" w:lineRule="exact"/>
        <w:ind w:firstLine="640" w:firstLineChars="200"/>
        <w:rPr>
          <w:rFonts w:ascii="仿宋_GB2312" w:hAnsi="宋体" w:eastAsia="仿宋_GB2312" w:cs="仿宋_GB2312"/>
          <w:kern w:val="0"/>
          <w:sz w:val="32"/>
          <w:szCs w:val="32"/>
          <w:highlight w:val="none"/>
        </w:rPr>
      </w:pPr>
      <w:r>
        <w:rPr>
          <w:rFonts w:hint="eastAsia" w:ascii="仿宋_GB2312" w:hAnsi="Helvetica" w:eastAsia="仿宋_GB2312" w:cs="Helvetica"/>
          <w:b/>
          <w:bCs/>
          <w:kern w:val="0"/>
          <w:sz w:val="32"/>
          <w:szCs w:val="32"/>
          <w:highlight w:val="none"/>
        </w:rPr>
        <w:t>第十</w:t>
      </w:r>
      <w:r>
        <w:rPr>
          <w:rFonts w:hint="eastAsia" w:ascii="仿宋_GB2312" w:hAnsi="宋体" w:eastAsia="仿宋_GB2312" w:cs="仿宋_GB2312"/>
          <w:b/>
          <w:bCs/>
          <w:kern w:val="0"/>
          <w:sz w:val="32"/>
          <w:szCs w:val="32"/>
          <w:highlight w:val="none"/>
        </w:rPr>
        <w:t>八</w:t>
      </w:r>
      <w:r>
        <w:rPr>
          <w:rFonts w:hint="eastAsia" w:ascii="仿宋_GB2312" w:hAnsi="Helvetica" w:eastAsia="仿宋_GB2312" w:cs="Helvetica"/>
          <w:b/>
          <w:bCs/>
          <w:kern w:val="0"/>
          <w:sz w:val="32"/>
          <w:szCs w:val="32"/>
          <w:highlight w:val="none"/>
        </w:rPr>
        <w:t xml:space="preserve">条 </w:t>
      </w:r>
      <w:r>
        <w:rPr>
          <w:rFonts w:hint="eastAsia" w:ascii="仿宋_GB2312" w:hAnsi="仿宋" w:eastAsia="仿宋_GB2312" w:cs="仿宋_GB2312"/>
          <w:sz w:val="32"/>
          <w:szCs w:val="32"/>
          <w:highlight w:val="none"/>
        </w:rPr>
        <w:t>北京保护中心</w:t>
      </w:r>
      <w:r>
        <w:rPr>
          <w:rFonts w:hint="eastAsia" w:ascii="仿宋_GB2312" w:hAnsi="宋体" w:eastAsia="仿宋_GB2312" w:cs="仿宋_GB2312"/>
          <w:kern w:val="0"/>
          <w:sz w:val="32"/>
          <w:szCs w:val="32"/>
          <w:highlight w:val="none"/>
        </w:rPr>
        <w:t>将核实相关评价材料的真实性，对存在提供虚假材料、伪造相关证明材料等行为的，将取消其等级评定并暂停预审服务。</w:t>
      </w:r>
    </w:p>
    <w:p w14:paraId="0597413E">
      <w:pPr>
        <w:widowControl/>
        <w:adjustRightInd w:val="0"/>
        <w:snapToGrid w:val="0"/>
        <w:spacing w:line="560" w:lineRule="exact"/>
        <w:ind w:firstLine="640" w:firstLineChars="200"/>
        <w:jc w:val="left"/>
        <w:rPr>
          <w:rFonts w:ascii="黑体" w:hAnsi="黑体" w:eastAsia="黑体" w:cs="黑体"/>
          <w:sz w:val="32"/>
          <w:szCs w:val="40"/>
          <w:highlight w:val="none"/>
        </w:rPr>
      </w:pPr>
      <w:r>
        <w:rPr>
          <w:rFonts w:hint="eastAsia" w:ascii="仿宋_GB2312" w:hAnsi="Helvetica" w:eastAsia="仿宋_GB2312" w:cs="Helvetica"/>
          <w:b/>
          <w:bCs/>
          <w:kern w:val="0"/>
          <w:sz w:val="32"/>
          <w:szCs w:val="32"/>
          <w:highlight w:val="none"/>
        </w:rPr>
        <w:t>第十</w:t>
      </w:r>
      <w:r>
        <w:rPr>
          <w:rFonts w:hint="eastAsia" w:ascii="仿宋_GB2312" w:hAnsi="宋体" w:eastAsia="仿宋_GB2312" w:cs="仿宋_GB2312"/>
          <w:b/>
          <w:bCs/>
          <w:kern w:val="0"/>
          <w:sz w:val="32"/>
          <w:szCs w:val="32"/>
          <w:highlight w:val="none"/>
        </w:rPr>
        <w:t>九</w:t>
      </w:r>
      <w:r>
        <w:rPr>
          <w:rFonts w:hint="eastAsia" w:ascii="仿宋_GB2312" w:hAnsi="Helvetica" w:eastAsia="仿宋_GB2312" w:cs="Helvetica"/>
          <w:b/>
          <w:bCs/>
          <w:kern w:val="0"/>
          <w:sz w:val="32"/>
          <w:szCs w:val="32"/>
          <w:highlight w:val="none"/>
        </w:rPr>
        <w:t xml:space="preserve">条 </w:t>
      </w:r>
      <w:r>
        <w:rPr>
          <w:rFonts w:hint="eastAsia" w:ascii="仿宋_GB2312" w:hAnsi="仿宋" w:eastAsia="仿宋_GB2312" w:cs="仿宋_GB2312"/>
          <w:sz w:val="32"/>
          <w:szCs w:val="32"/>
          <w:highlight w:val="none"/>
        </w:rPr>
        <w:t>北京保护中心</w:t>
      </w:r>
      <w:r>
        <w:rPr>
          <w:rFonts w:hint="eastAsia" w:ascii="仿宋_GB2312" w:hAnsi="Helvetica" w:eastAsia="仿宋_GB2312" w:cs="Helvetica"/>
          <w:kern w:val="0"/>
          <w:sz w:val="32"/>
          <w:szCs w:val="32"/>
          <w:highlight w:val="none"/>
        </w:rPr>
        <w:t>采取定</w:t>
      </w:r>
      <w:r>
        <w:rPr>
          <w:rFonts w:hint="eastAsia" w:ascii="仿宋_GB2312" w:hAnsi="宋体" w:eastAsia="仿宋_GB2312" w:cs="仿宋_GB2312"/>
          <w:kern w:val="0"/>
          <w:sz w:val="32"/>
          <w:szCs w:val="32"/>
          <w:highlight w:val="none"/>
        </w:rPr>
        <w:t>期和动态相</w:t>
      </w:r>
      <w:r>
        <w:rPr>
          <w:rFonts w:hint="eastAsia" w:ascii="仿宋_GB2312" w:hAnsi="Helvetica" w:eastAsia="仿宋_GB2312" w:cs="Helvetica"/>
          <w:kern w:val="0"/>
          <w:sz w:val="32"/>
          <w:szCs w:val="32"/>
          <w:highlight w:val="none"/>
        </w:rPr>
        <w:t>结合的方式开展备案主体和代理机构的评价工作，每年开展一次定期评价，根据加分和扣分情况，实时开展动态评价。备案主体、代理机构对评价结果有异议或者需要补充加分材料的，应当提交意见陈述和证明材料，</w:t>
      </w:r>
      <w:r>
        <w:rPr>
          <w:rFonts w:hint="eastAsia" w:ascii="仿宋_GB2312" w:hAnsi="仿宋" w:eastAsia="仿宋_GB2312" w:cs="仿宋_GB2312"/>
          <w:sz w:val="32"/>
          <w:szCs w:val="32"/>
          <w:highlight w:val="none"/>
        </w:rPr>
        <w:t>北京保护中心</w:t>
      </w:r>
      <w:r>
        <w:rPr>
          <w:rFonts w:hint="eastAsia" w:ascii="仿宋_GB2312" w:hAnsi="Helvetica" w:eastAsia="仿宋_GB2312" w:cs="Helvetica"/>
          <w:kern w:val="0"/>
          <w:sz w:val="32"/>
          <w:szCs w:val="32"/>
          <w:highlight w:val="none"/>
        </w:rPr>
        <w:t>将进行复核并反馈结果。</w:t>
      </w:r>
    </w:p>
    <w:p w14:paraId="5F3B98C0">
      <w:pPr>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第五章 监督与责任</w:t>
      </w:r>
    </w:p>
    <w:p w14:paraId="629F31A4">
      <w:pPr>
        <w:adjustRightInd w:val="0"/>
        <w:snapToGrid w:val="0"/>
        <w:spacing w:line="560" w:lineRule="exact"/>
        <w:ind w:firstLine="640" w:firstLineChars="200"/>
        <w:rPr>
          <w:rFonts w:ascii="仿宋_GB2312" w:hAnsi="仿宋_GB2312" w:eastAsia="仿宋_GB2312" w:cs="仿宋_GB2312"/>
          <w:sz w:val="32"/>
          <w:szCs w:val="40"/>
          <w:highlight w:val="none"/>
        </w:rPr>
      </w:pPr>
      <w:r>
        <w:rPr>
          <w:rFonts w:hint="eastAsia" w:ascii="仿宋_GB2312" w:hAnsi="宋体" w:eastAsia="仿宋_GB2312" w:cs="仿宋_GB2312"/>
          <w:b/>
          <w:bCs/>
          <w:kern w:val="0"/>
          <w:sz w:val="32"/>
          <w:szCs w:val="32"/>
          <w:highlight w:val="none"/>
        </w:rPr>
        <w:t>第</w:t>
      </w:r>
      <w:r>
        <w:rPr>
          <w:rFonts w:hint="eastAsia" w:ascii="仿宋_GB2312" w:hAnsi="Helvetica" w:eastAsia="仿宋_GB2312" w:cs="Helvetica"/>
          <w:b/>
          <w:bCs/>
          <w:kern w:val="0"/>
          <w:sz w:val="32"/>
          <w:highlight w:val="none"/>
        </w:rPr>
        <w:t>二十</w:t>
      </w:r>
      <w:r>
        <w:rPr>
          <w:rFonts w:hint="eastAsia" w:ascii="仿宋_GB2312" w:hAnsi="宋体" w:eastAsia="仿宋_GB2312" w:cs="仿宋_GB2312"/>
          <w:b/>
          <w:bCs/>
          <w:kern w:val="0"/>
          <w:sz w:val="32"/>
          <w:szCs w:val="32"/>
          <w:highlight w:val="none"/>
        </w:rPr>
        <w:t xml:space="preserve">条 </w:t>
      </w:r>
      <w:r>
        <w:rPr>
          <w:rFonts w:hint="eastAsia" w:ascii="仿宋_GB2312" w:hAnsi="仿宋" w:eastAsia="仿宋_GB2312" w:cs="仿宋_GB2312"/>
          <w:sz w:val="32"/>
          <w:szCs w:val="32"/>
          <w:highlight w:val="none"/>
        </w:rPr>
        <w:t>北京保护中心</w:t>
      </w:r>
      <w:r>
        <w:rPr>
          <w:rFonts w:hint="eastAsia" w:ascii="仿宋_GB2312" w:hAnsi="仿宋_GB2312" w:eastAsia="仿宋_GB2312" w:cs="仿宋_GB2312"/>
          <w:sz w:val="32"/>
          <w:szCs w:val="40"/>
          <w:highlight w:val="none"/>
        </w:rPr>
        <w:t>工作人员在分级分类评价和管理工作中应当依法保护备案主体和代理机构的合法权益，对工作中知悉的商业秘密或个人隐私等，依法予以保密。</w:t>
      </w:r>
    </w:p>
    <w:p w14:paraId="72869A52">
      <w:pPr>
        <w:adjustRightInd w:val="0"/>
        <w:snapToGrid w:val="0"/>
        <w:spacing w:line="560" w:lineRule="exact"/>
        <w:ind w:firstLine="640" w:firstLineChars="200"/>
        <w:rPr>
          <w:rFonts w:ascii="仿宋_GB2312" w:hAnsi="宋体" w:eastAsia="仿宋_GB2312" w:cs="仿宋_GB2312"/>
          <w:kern w:val="0"/>
          <w:sz w:val="32"/>
          <w:szCs w:val="32"/>
          <w:highlight w:val="none"/>
        </w:rPr>
      </w:pPr>
      <w:r>
        <w:rPr>
          <w:rFonts w:hint="eastAsia" w:ascii="仿宋_GB2312" w:hAnsi="宋体" w:eastAsia="仿宋_GB2312" w:cs="仿宋_GB2312"/>
          <w:b/>
          <w:bCs/>
          <w:kern w:val="0"/>
          <w:sz w:val="32"/>
          <w:szCs w:val="32"/>
          <w:highlight w:val="none"/>
        </w:rPr>
        <w:t>第</w:t>
      </w:r>
      <w:r>
        <w:rPr>
          <w:rFonts w:hint="eastAsia" w:ascii="仿宋_GB2312" w:hAnsi="Helvetica" w:eastAsia="仿宋_GB2312" w:cs="Helvetica"/>
          <w:b/>
          <w:bCs/>
          <w:kern w:val="0"/>
          <w:sz w:val="32"/>
          <w:highlight w:val="none"/>
        </w:rPr>
        <w:t>二十一</w:t>
      </w:r>
      <w:r>
        <w:rPr>
          <w:rFonts w:hint="eastAsia" w:ascii="仿宋_GB2312" w:hAnsi="宋体" w:eastAsia="仿宋_GB2312" w:cs="仿宋_GB2312"/>
          <w:b/>
          <w:bCs/>
          <w:kern w:val="0"/>
          <w:sz w:val="32"/>
          <w:szCs w:val="32"/>
          <w:highlight w:val="none"/>
        </w:rPr>
        <w:t xml:space="preserve">条 </w:t>
      </w:r>
      <w:r>
        <w:rPr>
          <w:rFonts w:hint="eastAsia" w:ascii="仿宋_GB2312" w:hAnsi="仿宋" w:eastAsia="仿宋_GB2312" w:cs="仿宋_GB2312"/>
          <w:sz w:val="32"/>
          <w:szCs w:val="32"/>
          <w:highlight w:val="none"/>
        </w:rPr>
        <w:t>北京保护中心</w:t>
      </w:r>
      <w:r>
        <w:rPr>
          <w:rFonts w:hint="eastAsia" w:ascii="仿宋_GB2312" w:hAnsi="宋体" w:eastAsia="仿宋_GB2312" w:cs="仿宋_GB2312"/>
          <w:kern w:val="0"/>
          <w:sz w:val="32"/>
          <w:szCs w:val="32"/>
          <w:highlight w:val="none"/>
        </w:rPr>
        <w:t>工作人员在分级分类</w:t>
      </w:r>
      <w:r>
        <w:rPr>
          <w:rFonts w:hint="eastAsia" w:ascii="仿宋_GB2312" w:hAnsi="仿宋_GB2312" w:eastAsia="仿宋_GB2312" w:cs="仿宋_GB2312"/>
          <w:sz w:val="32"/>
          <w:szCs w:val="40"/>
          <w:highlight w:val="none"/>
        </w:rPr>
        <w:t>评价和管理工作中</w:t>
      </w:r>
      <w:r>
        <w:rPr>
          <w:rFonts w:hint="eastAsia" w:ascii="仿宋_GB2312" w:hAnsi="宋体" w:eastAsia="仿宋_GB2312" w:cs="仿宋_GB2312"/>
          <w:kern w:val="0"/>
          <w:sz w:val="32"/>
          <w:szCs w:val="32"/>
          <w:highlight w:val="none"/>
        </w:rPr>
        <w:t>有玩忽职守、滥用职权、徇私舞弊等行为的，将严格追究其相关责任。</w:t>
      </w:r>
    </w:p>
    <w:p w14:paraId="7A3F9344">
      <w:pPr>
        <w:adjustRightInd w:val="0"/>
        <w:snapToGrid w:val="0"/>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第六章 附则</w:t>
      </w:r>
    </w:p>
    <w:p w14:paraId="4BD4DD1A">
      <w:pPr>
        <w:widowControl/>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Helvetica" w:eastAsia="仿宋_GB2312" w:cs="Helvetica"/>
          <w:b/>
          <w:bCs/>
          <w:kern w:val="0"/>
          <w:sz w:val="32"/>
          <w:highlight w:val="none"/>
        </w:rPr>
        <w:t xml:space="preserve">第二十二条 </w:t>
      </w:r>
      <w:r>
        <w:rPr>
          <w:rFonts w:hint="eastAsia" w:ascii="仿宋_GB2312" w:hAnsi="Helvetica" w:eastAsia="仿宋_GB2312" w:cs="Helvetica"/>
          <w:kern w:val="0"/>
          <w:sz w:val="32"/>
          <w:szCs w:val="32"/>
          <w:highlight w:val="none"/>
        </w:rPr>
        <w:t>本办法由北京保护中心负责解释。</w:t>
      </w:r>
    </w:p>
    <w:p w14:paraId="29634081">
      <w:pPr>
        <w:widowControl/>
        <w:adjustRightInd w:val="0"/>
        <w:snapToGrid w:val="0"/>
        <w:spacing w:line="56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b/>
          <w:bCs/>
          <w:kern w:val="0"/>
          <w:sz w:val="32"/>
          <w:highlight w:val="none"/>
        </w:rPr>
        <w:t xml:space="preserve">第二十三条 </w:t>
      </w:r>
      <w:r>
        <w:rPr>
          <w:rFonts w:hint="eastAsia" w:ascii="仿宋_GB2312" w:hAnsi="Helvetica" w:eastAsia="仿宋_GB2312" w:cs="Helvetica"/>
          <w:kern w:val="0"/>
          <w:sz w:val="32"/>
          <w:szCs w:val="32"/>
          <w:highlight w:val="none"/>
        </w:rPr>
        <w:t>本办法自发布之日起施行。</w:t>
      </w:r>
    </w:p>
    <w:p w14:paraId="6BE45CA1">
      <w:pPr>
        <w:widowControl/>
        <w:adjustRightInd w:val="0"/>
        <w:snapToGrid w:val="0"/>
        <w:spacing w:line="560" w:lineRule="exact"/>
        <w:ind w:firstLine="645"/>
        <w:rPr>
          <w:rFonts w:ascii="仿宋_GB2312" w:hAnsi="Helvetica" w:eastAsia="仿宋_GB2312" w:cs="Helvetica"/>
          <w:kern w:val="0"/>
          <w:sz w:val="32"/>
          <w:szCs w:val="32"/>
          <w:highlight w:val="none"/>
        </w:rPr>
      </w:pPr>
    </w:p>
    <w:p w14:paraId="53B210FD">
      <w:pPr>
        <w:spacing w:line="560" w:lineRule="exact"/>
        <w:ind w:left="1916" w:leftChars="303" w:hanging="1280" w:hangingChars="4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附件：1.</w:t>
      </w:r>
      <w:r>
        <w:rPr>
          <w:rFonts w:hint="eastAsia" w:ascii="仿宋_GB2312" w:hAnsi="仿宋" w:eastAsia="仿宋_GB2312" w:cs="仿宋_GB2312"/>
          <w:sz w:val="32"/>
          <w:szCs w:val="32"/>
          <w:highlight w:val="none"/>
        </w:rPr>
        <w:t>北京市知识产权保护中心备案主体分级评价指标</w:t>
      </w:r>
    </w:p>
    <w:p w14:paraId="5076C05B">
      <w:pPr>
        <w:spacing w:line="560" w:lineRule="exact"/>
        <w:ind w:firstLine="1600" w:firstLineChars="5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2.</w:t>
      </w:r>
      <w:r>
        <w:rPr>
          <w:rFonts w:hint="eastAsia" w:ascii="仿宋_GB2312" w:hAnsi="仿宋" w:eastAsia="仿宋_GB2312" w:cs="仿宋_GB2312"/>
          <w:sz w:val="32"/>
          <w:szCs w:val="32"/>
          <w:highlight w:val="none"/>
        </w:rPr>
        <w:t>北京市知识产权保护中心</w:t>
      </w:r>
      <w:r>
        <w:rPr>
          <w:rFonts w:hint="eastAsia" w:ascii="仿宋_GB2312" w:hAnsi="Helvetica" w:eastAsia="仿宋_GB2312" w:cs="Helvetica"/>
          <w:kern w:val="0"/>
          <w:sz w:val="32"/>
          <w:szCs w:val="32"/>
          <w:highlight w:val="none"/>
        </w:rPr>
        <w:t>代理机构分级评价指标</w:t>
      </w:r>
    </w:p>
    <w:p w14:paraId="3AFBDA78">
      <w:pPr>
        <w:spacing w:line="560" w:lineRule="exact"/>
        <w:ind w:firstLine="640" w:firstLineChars="200"/>
        <w:rPr>
          <w:rFonts w:ascii="仿宋_GB2312" w:hAnsi="Helvetica" w:eastAsia="仿宋_GB2312" w:cs="Helvetica"/>
          <w:kern w:val="0"/>
          <w:sz w:val="32"/>
          <w:szCs w:val="32"/>
          <w:highlight w:val="none"/>
        </w:rPr>
        <w:sectPr>
          <w:footerReference r:id="rId3" w:type="default"/>
          <w:pgSz w:w="11906" w:h="16838"/>
          <w:pgMar w:top="2098" w:right="1474" w:bottom="1985" w:left="1588" w:header="851" w:footer="992" w:gutter="0"/>
          <w:pgNumType w:fmt="numberInDash"/>
          <w:cols w:space="720" w:num="1"/>
          <w:docGrid w:type="linesAndChars" w:linePitch="312" w:charSpace="0"/>
        </w:sectPr>
      </w:pPr>
    </w:p>
    <w:p w14:paraId="410C8490">
      <w:pPr>
        <w:spacing w:line="560" w:lineRule="exact"/>
        <w:rPr>
          <w:rFonts w:ascii="黑体" w:hAnsi="黑体" w:eastAsia="黑体" w:cs="方正小标宋简体"/>
          <w:sz w:val="40"/>
          <w:szCs w:val="44"/>
          <w:highlight w:val="none"/>
        </w:rPr>
      </w:pPr>
      <w:r>
        <w:rPr>
          <w:rFonts w:hint="eastAsia" w:ascii="黑体" w:hAnsi="黑体" w:eastAsia="黑体" w:cs="仿宋_GB2312"/>
          <w:sz w:val="32"/>
          <w:szCs w:val="32"/>
          <w:highlight w:val="none"/>
        </w:rPr>
        <w:t>附件1</w:t>
      </w:r>
    </w:p>
    <w:p w14:paraId="250DDCEB">
      <w:pPr>
        <w:spacing w:line="560" w:lineRule="exact"/>
        <w:jc w:val="center"/>
        <w:rPr>
          <w:highlight w:val="none"/>
        </w:rPr>
      </w:pPr>
      <w:r>
        <w:rPr>
          <w:rFonts w:hint="eastAsia" w:ascii="方正小标宋简体" w:hAnsi="方正小标宋简体" w:eastAsia="方正小标宋简体" w:cs="方正小标宋简体"/>
          <w:sz w:val="40"/>
          <w:szCs w:val="44"/>
          <w:highlight w:val="none"/>
        </w:rPr>
        <w:t>北京市知识产权保护中心备案主体分级评价指标</w:t>
      </w:r>
    </w:p>
    <w:p w14:paraId="31819B1A">
      <w:pPr>
        <w:spacing w:line="560" w:lineRule="exact"/>
        <w:rPr>
          <w:highlight w:val="none"/>
        </w:rPr>
      </w:pPr>
    </w:p>
    <w:tbl>
      <w:tblPr>
        <w:tblStyle w:val="4"/>
        <w:tblW w:w="139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
        <w:gridCol w:w="1193"/>
        <w:gridCol w:w="1496"/>
        <w:gridCol w:w="1571"/>
        <w:gridCol w:w="4665"/>
        <w:gridCol w:w="4579"/>
      </w:tblGrid>
      <w:tr w14:paraId="03AA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46" w:type="dxa"/>
            <w:noWrap/>
            <w:vAlign w:val="center"/>
          </w:tcPr>
          <w:p w14:paraId="11B1B1BE">
            <w:pPr>
              <w:jc w:val="center"/>
              <w:rPr>
                <w:rFonts w:ascii="仿宋_GB2312" w:hAnsi="仿宋_GB2312" w:eastAsia="仿宋_GB2312" w:cs="仿宋_GB2312"/>
                <w:b/>
                <w:bCs/>
                <w:szCs w:val="21"/>
                <w:highlight w:val="none"/>
              </w:rPr>
            </w:pPr>
            <w:bookmarkStart w:id="7" w:name="OLE_LINK3"/>
            <w:bookmarkStart w:id="8" w:name="OLE_LINK2"/>
            <w:r>
              <w:rPr>
                <w:rFonts w:hint="eastAsia" w:ascii="仿宋_GB2312" w:hAnsi="仿宋_GB2312" w:eastAsia="仿宋_GB2312" w:cs="仿宋_GB2312"/>
                <w:b/>
                <w:bCs/>
                <w:szCs w:val="21"/>
                <w:highlight w:val="none"/>
              </w:rPr>
              <w:t>序号</w:t>
            </w:r>
          </w:p>
        </w:tc>
        <w:tc>
          <w:tcPr>
            <w:tcW w:w="1193" w:type="dxa"/>
            <w:noWrap/>
            <w:vAlign w:val="center"/>
          </w:tcPr>
          <w:p w14:paraId="0158C791">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一级指标</w:t>
            </w:r>
          </w:p>
        </w:tc>
        <w:tc>
          <w:tcPr>
            <w:tcW w:w="1496" w:type="dxa"/>
            <w:noWrap/>
            <w:vAlign w:val="center"/>
          </w:tcPr>
          <w:p w14:paraId="430863FE">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二级指标</w:t>
            </w:r>
          </w:p>
        </w:tc>
        <w:tc>
          <w:tcPr>
            <w:tcW w:w="1571" w:type="dxa"/>
            <w:noWrap/>
            <w:vAlign w:val="center"/>
          </w:tcPr>
          <w:p w14:paraId="3A4096DA">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三级指标</w:t>
            </w:r>
          </w:p>
        </w:tc>
        <w:tc>
          <w:tcPr>
            <w:tcW w:w="4665" w:type="dxa"/>
            <w:noWrap/>
            <w:vAlign w:val="center"/>
          </w:tcPr>
          <w:p w14:paraId="089E0FFA">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指标内容含义及计算方式</w:t>
            </w:r>
          </w:p>
        </w:tc>
        <w:tc>
          <w:tcPr>
            <w:tcW w:w="4579" w:type="dxa"/>
            <w:noWrap/>
            <w:vAlign w:val="center"/>
          </w:tcPr>
          <w:p w14:paraId="0FB5F5F0">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评分标准及说明</w:t>
            </w:r>
          </w:p>
        </w:tc>
      </w:tr>
      <w:tr w14:paraId="394E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446" w:type="dxa"/>
            <w:vMerge w:val="restart"/>
            <w:noWrap/>
            <w:vAlign w:val="center"/>
          </w:tcPr>
          <w:p w14:paraId="29F159C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193" w:type="dxa"/>
            <w:vMerge w:val="restart"/>
            <w:noWrap/>
            <w:vAlign w:val="center"/>
          </w:tcPr>
          <w:p w14:paraId="7C29201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基础指标</w:t>
            </w:r>
          </w:p>
        </w:tc>
        <w:tc>
          <w:tcPr>
            <w:tcW w:w="1496" w:type="dxa"/>
            <w:vMerge w:val="restart"/>
            <w:noWrap/>
            <w:vAlign w:val="center"/>
          </w:tcPr>
          <w:p w14:paraId="6E8F4927">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预审质量情况</w:t>
            </w:r>
          </w:p>
        </w:tc>
        <w:tc>
          <w:tcPr>
            <w:tcW w:w="1571" w:type="dxa"/>
            <w:noWrap/>
            <w:vAlign w:val="center"/>
          </w:tcPr>
          <w:p w14:paraId="6C1CF083">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w:t>
            </w:r>
          </w:p>
        </w:tc>
        <w:tc>
          <w:tcPr>
            <w:tcW w:w="4665" w:type="dxa"/>
            <w:noWrap/>
            <w:vAlign w:val="center"/>
          </w:tcPr>
          <w:p w14:paraId="38FFF53C">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一年内，预审合格进入国家知识产权局快速审查通道的案件量与预审接受量的比值。</w:t>
            </w:r>
          </w:p>
        </w:tc>
        <w:tc>
          <w:tcPr>
            <w:tcW w:w="4579" w:type="dxa"/>
            <w:vMerge w:val="restart"/>
            <w:noWrap/>
            <w:vAlign w:val="center"/>
          </w:tcPr>
          <w:p w14:paraId="7154B52A">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预审接受量5件（含）以上的计算预审合格率，预审合格进入国家知识产权局快审通道审结案件5件（含）以上的计算审结授权率：</w:t>
            </w:r>
          </w:p>
          <w:p w14:paraId="61FACE2F">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预审合格率&gt;90.0%（含）且审结授权率&gt;90.0%（含），定为A级。</w:t>
            </w:r>
          </w:p>
          <w:p w14:paraId="2F2A870F">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预审合格率＜80.0%或审结授权率＜80.0%，定为C级。</w:t>
            </w:r>
          </w:p>
          <w:p w14:paraId="6A4BC79B">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其他定为B级。</w:t>
            </w:r>
          </w:p>
        </w:tc>
      </w:tr>
      <w:tr w14:paraId="0CFF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dxa"/>
            <w:vMerge w:val="continue"/>
            <w:noWrap/>
            <w:vAlign w:val="center"/>
          </w:tcPr>
          <w:p w14:paraId="774F7FEF">
            <w:pPr>
              <w:jc w:val="center"/>
              <w:rPr>
                <w:rFonts w:ascii="仿宋_GB2312" w:hAnsi="仿宋_GB2312" w:eastAsia="仿宋_GB2312" w:cs="仿宋_GB2312"/>
                <w:szCs w:val="21"/>
                <w:highlight w:val="none"/>
              </w:rPr>
            </w:pPr>
          </w:p>
        </w:tc>
        <w:tc>
          <w:tcPr>
            <w:tcW w:w="1193" w:type="dxa"/>
            <w:vMerge w:val="continue"/>
            <w:noWrap/>
            <w:vAlign w:val="center"/>
          </w:tcPr>
          <w:p w14:paraId="393C76C9">
            <w:pPr>
              <w:jc w:val="center"/>
              <w:rPr>
                <w:rFonts w:ascii="仿宋_GB2312" w:hAnsi="仿宋_GB2312" w:eastAsia="仿宋_GB2312" w:cs="仿宋_GB2312"/>
                <w:szCs w:val="21"/>
                <w:highlight w:val="none"/>
              </w:rPr>
            </w:pPr>
          </w:p>
        </w:tc>
        <w:tc>
          <w:tcPr>
            <w:tcW w:w="1496" w:type="dxa"/>
            <w:vMerge w:val="continue"/>
            <w:noWrap/>
            <w:vAlign w:val="center"/>
          </w:tcPr>
          <w:p w14:paraId="6A82CC81">
            <w:pPr>
              <w:jc w:val="center"/>
              <w:rPr>
                <w:rFonts w:ascii="仿宋_GB2312" w:hAnsi="仿宋_GB2312" w:eastAsia="仿宋_GB2312" w:cs="仿宋_GB2312"/>
                <w:szCs w:val="21"/>
                <w:highlight w:val="none"/>
              </w:rPr>
            </w:pPr>
          </w:p>
        </w:tc>
        <w:tc>
          <w:tcPr>
            <w:tcW w:w="1571" w:type="dxa"/>
            <w:noWrap/>
            <w:vAlign w:val="center"/>
          </w:tcPr>
          <w:p w14:paraId="0907730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审结授权率</w:t>
            </w:r>
          </w:p>
        </w:tc>
        <w:tc>
          <w:tcPr>
            <w:tcW w:w="4665" w:type="dxa"/>
            <w:noWrap/>
            <w:vAlign w:val="center"/>
          </w:tcPr>
          <w:p w14:paraId="2C131108">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一年内，预审合格进入国家知识产权局快速审查通道的专利授权量与审结量的比值。</w:t>
            </w:r>
          </w:p>
        </w:tc>
        <w:tc>
          <w:tcPr>
            <w:tcW w:w="4579" w:type="dxa"/>
            <w:vMerge w:val="continue"/>
            <w:noWrap/>
            <w:vAlign w:val="center"/>
          </w:tcPr>
          <w:p w14:paraId="6806A45D">
            <w:pPr>
              <w:jc w:val="left"/>
              <w:rPr>
                <w:rFonts w:ascii="仿宋_GB2312" w:hAnsi="仿宋_GB2312" w:eastAsia="仿宋_GB2312" w:cs="仿宋_GB2312"/>
                <w:szCs w:val="21"/>
                <w:highlight w:val="none"/>
              </w:rPr>
            </w:pPr>
          </w:p>
        </w:tc>
      </w:tr>
      <w:tr w14:paraId="2256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dxa"/>
            <w:vMerge w:val="restart"/>
            <w:noWrap/>
            <w:vAlign w:val="center"/>
          </w:tcPr>
          <w:p w14:paraId="59B7BEB8">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193" w:type="dxa"/>
            <w:vMerge w:val="restart"/>
            <w:noWrap/>
            <w:vAlign w:val="center"/>
          </w:tcPr>
          <w:p w14:paraId="090EA4C2">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加分指标</w:t>
            </w:r>
          </w:p>
          <w:p w14:paraId="3FCE00FA">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（每加10分提升一个等级）</w:t>
            </w:r>
          </w:p>
        </w:tc>
        <w:tc>
          <w:tcPr>
            <w:tcW w:w="1496" w:type="dxa"/>
            <w:vMerge w:val="restart"/>
            <w:noWrap/>
            <w:vAlign w:val="center"/>
          </w:tcPr>
          <w:p w14:paraId="1308890A">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资质荣誉（最高10分）</w:t>
            </w:r>
          </w:p>
        </w:tc>
        <w:tc>
          <w:tcPr>
            <w:tcW w:w="1571" w:type="dxa"/>
            <w:shd w:val="clear" w:color="auto" w:fill="auto"/>
            <w:noWrap/>
            <w:vAlign w:val="center"/>
          </w:tcPr>
          <w:p w14:paraId="7EDD8B83">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相关资质</w:t>
            </w:r>
          </w:p>
        </w:tc>
        <w:tc>
          <w:tcPr>
            <w:tcW w:w="4665" w:type="dxa"/>
            <w:shd w:val="clear" w:color="auto" w:fill="auto"/>
            <w:noWrap/>
            <w:vAlign w:val="center"/>
          </w:tcPr>
          <w:p w14:paraId="6CA1A662">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国家科研机构、高水平研究型大学、新型研发机构、制造业单项冠军企业、隐形冠军企业等战略科技力量。</w:t>
            </w:r>
          </w:p>
        </w:tc>
        <w:tc>
          <w:tcPr>
            <w:tcW w:w="4579" w:type="dxa"/>
            <w:shd w:val="clear" w:color="auto" w:fill="auto"/>
            <w:noWrap/>
            <w:vAlign w:val="center"/>
          </w:tcPr>
          <w:p w14:paraId="41AD3166">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国家级资质加10分，北京市级资质加5分。多项资质以最高分计，且不累计加分。</w:t>
            </w:r>
          </w:p>
        </w:tc>
      </w:tr>
      <w:tr w14:paraId="4FFA2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446" w:type="dxa"/>
            <w:vMerge w:val="continue"/>
            <w:noWrap/>
            <w:vAlign w:val="center"/>
          </w:tcPr>
          <w:p w14:paraId="5AE4DBFD">
            <w:pPr>
              <w:jc w:val="center"/>
              <w:rPr>
                <w:rFonts w:ascii="仿宋_GB2312" w:hAnsi="仿宋_GB2312" w:eastAsia="仿宋_GB2312" w:cs="仿宋_GB2312"/>
                <w:szCs w:val="21"/>
                <w:highlight w:val="none"/>
              </w:rPr>
            </w:pPr>
          </w:p>
        </w:tc>
        <w:tc>
          <w:tcPr>
            <w:tcW w:w="1193" w:type="dxa"/>
            <w:vMerge w:val="continue"/>
            <w:noWrap/>
            <w:vAlign w:val="center"/>
          </w:tcPr>
          <w:p w14:paraId="652E741B">
            <w:pPr>
              <w:rPr>
                <w:rFonts w:ascii="仿宋_GB2312" w:hAnsi="仿宋_GB2312" w:eastAsia="仿宋_GB2312" w:cs="仿宋_GB2312"/>
                <w:szCs w:val="21"/>
                <w:highlight w:val="none"/>
              </w:rPr>
            </w:pPr>
          </w:p>
        </w:tc>
        <w:tc>
          <w:tcPr>
            <w:tcW w:w="1496" w:type="dxa"/>
            <w:vMerge w:val="continue"/>
            <w:noWrap/>
            <w:vAlign w:val="center"/>
          </w:tcPr>
          <w:p w14:paraId="3EE2935B">
            <w:pPr>
              <w:jc w:val="center"/>
              <w:rPr>
                <w:rFonts w:ascii="仿宋_GB2312" w:hAnsi="仿宋_GB2312" w:eastAsia="仿宋_GB2312" w:cs="仿宋_GB2312"/>
                <w:szCs w:val="21"/>
                <w:highlight w:val="none"/>
              </w:rPr>
            </w:pPr>
          </w:p>
        </w:tc>
        <w:tc>
          <w:tcPr>
            <w:tcW w:w="1571" w:type="dxa"/>
            <w:shd w:val="clear" w:color="auto" w:fill="auto"/>
            <w:noWrap/>
            <w:vAlign w:val="center"/>
          </w:tcPr>
          <w:p w14:paraId="0EB36A5A">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知识产权相关荣誉</w:t>
            </w:r>
          </w:p>
        </w:tc>
        <w:tc>
          <w:tcPr>
            <w:tcW w:w="4665" w:type="dxa"/>
            <w:shd w:val="clear" w:color="auto" w:fill="auto"/>
            <w:noWrap/>
            <w:vAlign w:val="center"/>
          </w:tcPr>
          <w:p w14:paraId="08A8383E">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国家知识产权示范企业、国家知识产权优势企业、北京市知识产权优势单位。</w:t>
            </w:r>
          </w:p>
        </w:tc>
        <w:tc>
          <w:tcPr>
            <w:tcW w:w="4579" w:type="dxa"/>
            <w:shd w:val="clear" w:color="auto" w:fill="auto"/>
            <w:noWrap/>
            <w:vAlign w:val="center"/>
          </w:tcPr>
          <w:p w14:paraId="4905C081">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国家知识产权示范企业加10分，国家知识产权优势企业加5分，北京市知识产权优势单位加3分。多项荣誉以最高分计，且不累计加分。</w:t>
            </w:r>
          </w:p>
        </w:tc>
      </w:tr>
      <w:tr w14:paraId="28F1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446" w:type="dxa"/>
            <w:vMerge w:val="continue"/>
            <w:noWrap/>
            <w:vAlign w:val="center"/>
          </w:tcPr>
          <w:p w14:paraId="56D4E15C">
            <w:pPr>
              <w:jc w:val="center"/>
              <w:rPr>
                <w:rFonts w:ascii="仿宋_GB2312" w:hAnsi="仿宋_GB2312" w:eastAsia="仿宋_GB2312" w:cs="仿宋_GB2312"/>
                <w:szCs w:val="21"/>
                <w:highlight w:val="none"/>
              </w:rPr>
            </w:pPr>
          </w:p>
        </w:tc>
        <w:tc>
          <w:tcPr>
            <w:tcW w:w="1193" w:type="dxa"/>
            <w:vMerge w:val="continue"/>
            <w:noWrap/>
            <w:vAlign w:val="center"/>
          </w:tcPr>
          <w:p w14:paraId="0DFDC2EF">
            <w:pPr>
              <w:rPr>
                <w:rFonts w:ascii="仿宋_GB2312" w:hAnsi="仿宋_GB2312" w:eastAsia="仿宋_GB2312" w:cs="仿宋_GB2312"/>
                <w:szCs w:val="21"/>
                <w:highlight w:val="none"/>
              </w:rPr>
            </w:pPr>
          </w:p>
        </w:tc>
        <w:tc>
          <w:tcPr>
            <w:tcW w:w="1496" w:type="dxa"/>
            <w:vMerge w:val="continue"/>
            <w:tcBorders>
              <w:bottom w:val="single" w:color="auto" w:sz="4" w:space="0"/>
            </w:tcBorders>
            <w:noWrap/>
            <w:vAlign w:val="center"/>
          </w:tcPr>
          <w:p w14:paraId="77EF57A8">
            <w:pPr>
              <w:jc w:val="center"/>
              <w:rPr>
                <w:rFonts w:ascii="仿宋_GB2312" w:hAnsi="仿宋_GB2312" w:eastAsia="仿宋_GB2312" w:cs="仿宋_GB2312"/>
                <w:szCs w:val="21"/>
                <w:highlight w:val="none"/>
              </w:rPr>
            </w:pPr>
          </w:p>
        </w:tc>
        <w:tc>
          <w:tcPr>
            <w:tcW w:w="1571" w:type="dxa"/>
            <w:noWrap/>
            <w:vAlign w:val="center"/>
          </w:tcPr>
          <w:p w14:paraId="4C0991DE">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预审合格后授权专利获得奖项</w:t>
            </w:r>
          </w:p>
        </w:tc>
        <w:tc>
          <w:tcPr>
            <w:tcW w:w="4665" w:type="dxa"/>
            <w:noWrap/>
            <w:vAlign w:val="center"/>
          </w:tcPr>
          <w:p w14:paraId="5FD7786D">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预审合格后授权专利获得中国专利奖及其他市、区级奖项。</w:t>
            </w:r>
          </w:p>
        </w:tc>
        <w:tc>
          <w:tcPr>
            <w:tcW w:w="4579" w:type="dxa"/>
            <w:noWrap/>
            <w:vAlign w:val="center"/>
          </w:tcPr>
          <w:p w14:paraId="38534D94">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获得中国专利奖金奖加10分，银奖加8分，优秀奖加6分。获得其他市、区级奖项加5分。</w:t>
            </w:r>
          </w:p>
        </w:tc>
      </w:tr>
      <w:tr w14:paraId="3AED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446" w:type="dxa"/>
            <w:vMerge w:val="continue"/>
            <w:noWrap/>
            <w:vAlign w:val="center"/>
          </w:tcPr>
          <w:p w14:paraId="51FD5EA5">
            <w:pPr>
              <w:jc w:val="center"/>
              <w:rPr>
                <w:rFonts w:ascii="仿宋_GB2312" w:hAnsi="仿宋_GB2312" w:eastAsia="仿宋_GB2312" w:cs="仿宋_GB2312"/>
                <w:szCs w:val="21"/>
                <w:highlight w:val="none"/>
              </w:rPr>
            </w:pPr>
          </w:p>
        </w:tc>
        <w:tc>
          <w:tcPr>
            <w:tcW w:w="1193" w:type="dxa"/>
            <w:vMerge w:val="continue"/>
            <w:noWrap/>
            <w:vAlign w:val="center"/>
          </w:tcPr>
          <w:p w14:paraId="01A76BC7">
            <w:pPr>
              <w:jc w:val="center"/>
              <w:rPr>
                <w:rFonts w:ascii="仿宋_GB2312" w:hAnsi="仿宋_GB2312" w:eastAsia="仿宋_GB2312" w:cs="仿宋_GB2312"/>
                <w:szCs w:val="21"/>
                <w:highlight w:val="none"/>
              </w:rPr>
            </w:pPr>
          </w:p>
        </w:tc>
        <w:tc>
          <w:tcPr>
            <w:tcW w:w="1496" w:type="dxa"/>
            <w:tcBorders>
              <w:top w:val="single" w:color="auto" w:sz="4" w:space="0"/>
              <w:bottom w:val="single" w:color="auto" w:sz="4" w:space="0"/>
            </w:tcBorders>
            <w:noWrap/>
            <w:vAlign w:val="center"/>
          </w:tcPr>
          <w:p w14:paraId="5D3E8E9C">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工作</w:t>
            </w:r>
          </w:p>
          <w:p w14:paraId="6E6A82C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配合情况</w:t>
            </w:r>
          </w:p>
          <w:p w14:paraId="2988CF83">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571" w:type="dxa"/>
            <w:noWrap/>
            <w:vAlign w:val="center"/>
          </w:tcPr>
          <w:p w14:paraId="7CDE1B6C">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配合开展各项工作</w:t>
            </w:r>
          </w:p>
        </w:tc>
        <w:tc>
          <w:tcPr>
            <w:tcW w:w="4665" w:type="dxa"/>
            <w:noWrap/>
            <w:vAlign w:val="center"/>
          </w:tcPr>
          <w:p w14:paraId="57ADD084">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一年内，报送预审服务效果相关典型案例，配合开展经验分享、技术授课、调研座谈、需求调查等工作。</w:t>
            </w:r>
          </w:p>
        </w:tc>
        <w:tc>
          <w:tcPr>
            <w:tcW w:w="4579" w:type="dxa"/>
            <w:noWrap/>
            <w:vAlign w:val="center"/>
          </w:tcPr>
          <w:p w14:paraId="7585856F">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报送北京保护中心预审服务效果案例被省级以上部门采纳，每个案例加10分，被北京保护中心采纳，每个案例加5分</w:t>
            </w:r>
            <w:bookmarkStart w:id="9" w:name="OLE_LINK5"/>
            <w:r>
              <w:rPr>
                <w:rFonts w:hint="eastAsia" w:ascii="仿宋_GB2312" w:hAnsi="仿宋_GB2312" w:eastAsia="仿宋_GB2312" w:cs="仿宋_GB2312"/>
                <w:szCs w:val="21"/>
                <w:highlight w:val="none"/>
              </w:rPr>
              <w:t>；</w:t>
            </w:r>
            <w:bookmarkEnd w:id="9"/>
            <w:r>
              <w:rPr>
                <w:rFonts w:hint="eastAsia" w:ascii="仿宋_GB2312" w:hAnsi="仿宋_GB2312" w:eastAsia="仿宋_GB2312" w:cs="仿宋_GB2312"/>
                <w:szCs w:val="21"/>
                <w:highlight w:val="none"/>
              </w:rPr>
              <w:t>提供经验分享或技术授课，每次加2分；配合参与调研、座谈、需求调查等工作，每次加1分。</w:t>
            </w:r>
          </w:p>
        </w:tc>
      </w:tr>
      <w:tr w14:paraId="52F5D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446" w:type="dxa"/>
            <w:vMerge w:val="continue"/>
            <w:noWrap/>
            <w:vAlign w:val="center"/>
          </w:tcPr>
          <w:p w14:paraId="2B8C6FA3">
            <w:pPr>
              <w:jc w:val="center"/>
              <w:rPr>
                <w:rFonts w:ascii="仿宋_GB2312" w:hAnsi="仿宋_GB2312" w:eastAsia="仿宋_GB2312" w:cs="仿宋_GB2312"/>
                <w:szCs w:val="21"/>
                <w:highlight w:val="none"/>
              </w:rPr>
            </w:pPr>
          </w:p>
        </w:tc>
        <w:tc>
          <w:tcPr>
            <w:tcW w:w="1193" w:type="dxa"/>
            <w:vMerge w:val="continue"/>
            <w:noWrap/>
            <w:vAlign w:val="center"/>
          </w:tcPr>
          <w:p w14:paraId="48EC1A47">
            <w:pPr>
              <w:jc w:val="center"/>
              <w:rPr>
                <w:rFonts w:ascii="仿宋_GB2312" w:hAnsi="仿宋_GB2312" w:eastAsia="仿宋_GB2312" w:cs="仿宋_GB2312"/>
                <w:szCs w:val="21"/>
                <w:highlight w:val="none"/>
              </w:rPr>
            </w:pPr>
          </w:p>
        </w:tc>
        <w:tc>
          <w:tcPr>
            <w:tcW w:w="1496" w:type="dxa"/>
            <w:tcBorders>
              <w:top w:val="single" w:color="auto" w:sz="4" w:space="0"/>
            </w:tcBorders>
            <w:noWrap/>
            <w:vAlign w:val="center"/>
          </w:tcPr>
          <w:p w14:paraId="0A4D8C76">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预审合格后授权专利转化运用情况（最高5分）</w:t>
            </w:r>
          </w:p>
        </w:tc>
        <w:tc>
          <w:tcPr>
            <w:tcW w:w="1571" w:type="dxa"/>
            <w:noWrap/>
            <w:vAlign w:val="center"/>
          </w:tcPr>
          <w:p w14:paraId="662D7B07">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预审合格后授权专利的转化运用情况</w:t>
            </w:r>
          </w:p>
        </w:tc>
        <w:tc>
          <w:tcPr>
            <w:tcW w:w="4665" w:type="dxa"/>
            <w:noWrap/>
            <w:vAlign w:val="center"/>
          </w:tcPr>
          <w:p w14:paraId="434FB888">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预审合格后授权专利在一年内进行转化运用。</w:t>
            </w:r>
          </w:p>
        </w:tc>
        <w:tc>
          <w:tcPr>
            <w:tcW w:w="4579" w:type="dxa"/>
            <w:noWrap/>
            <w:vAlign w:val="center"/>
          </w:tcPr>
          <w:p w14:paraId="74542189">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包括产学研合作、专利作价入股、转让、许可、质押融资等多种形式的转化运用，或被认定为专利密集型产品，需要提供主要做法、解决问题、创新之处、主要成效等说明材料，每件加1分。</w:t>
            </w:r>
          </w:p>
        </w:tc>
      </w:tr>
      <w:tr w14:paraId="37E1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446" w:type="dxa"/>
            <w:vMerge w:val="restart"/>
            <w:noWrap/>
            <w:vAlign w:val="center"/>
          </w:tcPr>
          <w:p w14:paraId="400B7F7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193" w:type="dxa"/>
            <w:vMerge w:val="restart"/>
            <w:noWrap/>
            <w:vAlign w:val="center"/>
          </w:tcPr>
          <w:p w14:paraId="4CEB39EE">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扣分指标</w:t>
            </w:r>
          </w:p>
          <w:p w14:paraId="7A848294">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（每扣10分下降一个等级）</w:t>
            </w:r>
          </w:p>
        </w:tc>
        <w:tc>
          <w:tcPr>
            <w:tcW w:w="1496" w:type="dxa"/>
            <w:vMerge w:val="restart"/>
            <w:noWrap/>
            <w:vAlign w:val="center"/>
          </w:tcPr>
          <w:p w14:paraId="54D8F51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信用情况</w:t>
            </w:r>
          </w:p>
          <w:p w14:paraId="2B59953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571" w:type="dxa"/>
            <w:noWrap/>
            <w:vAlign w:val="center"/>
          </w:tcPr>
          <w:p w14:paraId="2464BC6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违反专利预审相关制度</w:t>
            </w:r>
          </w:p>
        </w:tc>
        <w:tc>
          <w:tcPr>
            <w:tcW w:w="4665" w:type="dxa"/>
            <w:noWrap/>
            <w:vAlign w:val="center"/>
          </w:tcPr>
          <w:p w14:paraId="6F6D914F">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一年内，违反北京保护中心《专利申请预审服务管理办法》。</w:t>
            </w:r>
          </w:p>
        </w:tc>
        <w:tc>
          <w:tcPr>
            <w:tcW w:w="4579" w:type="dxa"/>
            <w:noWrap/>
            <w:vAlign w:val="center"/>
          </w:tcPr>
          <w:p w14:paraId="31A3E98E">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予以提醒：扣5分；</w:t>
            </w:r>
          </w:p>
          <w:p w14:paraId="10C82727">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被暂停专利预审服务：扣10分。</w:t>
            </w:r>
          </w:p>
        </w:tc>
      </w:tr>
      <w:tr w14:paraId="7C48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trPr>
        <w:tc>
          <w:tcPr>
            <w:tcW w:w="446" w:type="dxa"/>
            <w:vMerge w:val="continue"/>
            <w:noWrap/>
            <w:vAlign w:val="center"/>
          </w:tcPr>
          <w:p w14:paraId="4D04DC3E">
            <w:pPr>
              <w:jc w:val="center"/>
              <w:rPr>
                <w:rFonts w:ascii="仿宋_GB2312" w:hAnsi="仿宋_GB2312" w:eastAsia="仿宋_GB2312" w:cs="仿宋_GB2312"/>
                <w:szCs w:val="21"/>
                <w:highlight w:val="none"/>
              </w:rPr>
            </w:pPr>
          </w:p>
        </w:tc>
        <w:tc>
          <w:tcPr>
            <w:tcW w:w="1193" w:type="dxa"/>
            <w:vMerge w:val="continue"/>
            <w:noWrap/>
            <w:vAlign w:val="center"/>
          </w:tcPr>
          <w:p w14:paraId="66302B5B">
            <w:pPr>
              <w:jc w:val="center"/>
              <w:rPr>
                <w:rFonts w:ascii="仿宋_GB2312" w:hAnsi="仿宋_GB2312" w:eastAsia="仿宋_GB2312" w:cs="仿宋_GB2312"/>
                <w:szCs w:val="21"/>
                <w:highlight w:val="none"/>
              </w:rPr>
            </w:pPr>
          </w:p>
        </w:tc>
        <w:tc>
          <w:tcPr>
            <w:tcW w:w="1496" w:type="dxa"/>
            <w:vMerge w:val="continue"/>
            <w:noWrap/>
            <w:vAlign w:val="center"/>
          </w:tcPr>
          <w:p w14:paraId="6FD76BF6">
            <w:pPr>
              <w:jc w:val="center"/>
              <w:rPr>
                <w:rFonts w:ascii="仿宋_GB2312" w:hAnsi="仿宋_GB2312" w:eastAsia="仿宋_GB2312" w:cs="仿宋_GB2312"/>
                <w:szCs w:val="21"/>
                <w:highlight w:val="none"/>
              </w:rPr>
            </w:pPr>
          </w:p>
        </w:tc>
        <w:tc>
          <w:tcPr>
            <w:tcW w:w="1571" w:type="dxa"/>
            <w:noWrap/>
            <w:vAlign w:val="center"/>
          </w:tcPr>
          <w:p w14:paraId="49494F1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涉及不以保护创新为目的的专利申请</w:t>
            </w:r>
          </w:p>
        </w:tc>
        <w:tc>
          <w:tcPr>
            <w:tcW w:w="4665" w:type="dxa"/>
            <w:noWrap/>
            <w:vAlign w:val="center"/>
          </w:tcPr>
          <w:p w14:paraId="37D35AB4">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三年内，预审合格进入国家知识产权局快速审查通道的案件存在不以保护创新为目的的专利申请（申诉成功的除外）。</w:t>
            </w:r>
          </w:p>
        </w:tc>
        <w:tc>
          <w:tcPr>
            <w:tcW w:w="4579" w:type="dxa"/>
            <w:noWrap/>
            <w:vAlign w:val="center"/>
          </w:tcPr>
          <w:p w14:paraId="0BCA0716">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出现该情形，扣10分。</w:t>
            </w:r>
          </w:p>
        </w:tc>
      </w:tr>
      <w:tr w14:paraId="7DC6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446" w:type="dxa"/>
            <w:vMerge w:val="continue"/>
            <w:noWrap/>
            <w:vAlign w:val="center"/>
          </w:tcPr>
          <w:p w14:paraId="37402A40">
            <w:pPr>
              <w:jc w:val="center"/>
              <w:rPr>
                <w:rFonts w:ascii="仿宋_GB2312" w:hAnsi="仿宋_GB2312" w:eastAsia="仿宋_GB2312" w:cs="仿宋_GB2312"/>
                <w:szCs w:val="21"/>
                <w:highlight w:val="none"/>
              </w:rPr>
            </w:pPr>
          </w:p>
        </w:tc>
        <w:tc>
          <w:tcPr>
            <w:tcW w:w="1193" w:type="dxa"/>
            <w:vMerge w:val="continue"/>
            <w:noWrap/>
            <w:vAlign w:val="center"/>
          </w:tcPr>
          <w:p w14:paraId="39282F4F">
            <w:pPr>
              <w:jc w:val="center"/>
              <w:rPr>
                <w:rFonts w:ascii="仿宋_GB2312" w:hAnsi="仿宋_GB2312" w:eastAsia="仿宋_GB2312" w:cs="仿宋_GB2312"/>
                <w:szCs w:val="21"/>
                <w:highlight w:val="none"/>
              </w:rPr>
            </w:pPr>
          </w:p>
        </w:tc>
        <w:tc>
          <w:tcPr>
            <w:tcW w:w="1496" w:type="dxa"/>
            <w:vMerge w:val="restart"/>
            <w:noWrap/>
            <w:vAlign w:val="center"/>
          </w:tcPr>
          <w:p w14:paraId="2DE99A34">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预审合格后授权专利情况</w:t>
            </w:r>
          </w:p>
          <w:p w14:paraId="1152D2E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571" w:type="dxa"/>
            <w:noWrap/>
            <w:vAlign w:val="center"/>
          </w:tcPr>
          <w:p w14:paraId="3DC44A2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专利权维持情况</w:t>
            </w:r>
          </w:p>
        </w:tc>
        <w:tc>
          <w:tcPr>
            <w:tcW w:w="4665" w:type="dxa"/>
            <w:noWrap/>
            <w:vAlign w:val="center"/>
          </w:tcPr>
          <w:p w14:paraId="01B6760A">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一年内，预审合格后授权专利失效且专利维持年限不足两年。</w:t>
            </w:r>
          </w:p>
        </w:tc>
        <w:tc>
          <w:tcPr>
            <w:tcW w:w="4579" w:type="dxa"/>
            <w:noWrap/>
            <w:vAlign w:val="center"/>
          </w:tcPr>
          <w:p w14:paraId="393941A8">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每件扣1分，最高扣5分。</w:t>
            </w:r>
          </w:p>
        </w:tc>
      </w:tr>
      <w:tr w14:paraId="45C89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446" w:type="dxa"/>
            <w:vMerge w:val="continue"/>
            <w:noWrap/>
            <w:vAlign w:val="center"/>
          </w:tcPr>
          <w:p w14:paraId="2ADEB239">
            <w:pPr>
              <w:jc w:val="center"/>
              <w:rPr>
                <w:rFonts w:ascii="仿宋_GB2312" w:hAnsi="仿宋_GB2312" w:eastAsia="仿宋_GB2312" w:cs="仿宋_GB2312"/>
                <w:szCs w:val="21"/>
                <w:highlight w:val="none"/>
              </w:rPr>
            </w:pPr>
          </w:p>
        </w:tc>
        <w:tc>
          <w:tcPr>
            <w:tcW w:w="1193" w:type="dxa"/>
            <w:vMerge w:val="continue"/>
            <w:noWrap/>
            <w:vAlign w:val="center"/>
          </w:tcPr>
          <w:p w14:paraId="0EC0206C">
            <w:pPr>
              <w:jc w:val="center"/>
              <w:rPr>
                <w:rFonts w:ascii="仿宋_GB2312" w:hAnsi="仿宋_GB2312" w:eastAsia="仿宋_GB2312" w:cs="仿宋_GB2312"/>
                <w:szCs w:val="21"/>
                <w:highlight w:val="none"/>
              </w:rPr>
            </w:pPr>
          </w:p>
        </w:tc>
        <w:tc>
          <w:tcPr>
            <w:tcW w:w="1496" w:type="dxa"/>
            <w:vMerge w:val="continue"/>
            <w:noWrap/>
            <w:vAlign w:val="center"/>
          </w:tcPr>
          <w:p w14:paraId="4F36BBDD">
            <w:pPr>
              <w:jc w:val="center"/>
              <w:rPr>
                <w:rFonts w:ascii="仿宋_GB2312" w:hAnsi="仿宋_GB2312" w:eastAsia="仿宋_GB2312" w:cs="仿宋_GB2312"/>
                <w:szCs w:val="21"/>
                <w:highlight w:val="none"/>
              </w:rPr>
            </w:pPr>
          </w:p>
        </w:tc>
        <w:tc>
          <w:tcPr>
            <w:tcW w:w="1571" w:type="dxa"/>
            <w:noWrap/>
            <w:vAlign w:val="center"/>
          </w:tcPr>
          <w:p w14:paraId="47F7BB1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权利要求保护范围</w:t>
            </w:r>
          </w:p>
        </w:tc>
        <w:tc>
          <w:tcPr>
            <w:tcW w:w="4665" w:type="dxa"/>
            <w:noWrap/>
            <w:vAlign w:val="center"/>
          </w:tcPr>
          <w:p w14:paraId="4851352A">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一年内，预审合格后授权专利，存在权利要求技术特征琐碎纷杂、简单功能复杂化，引入大量与发明贡献无特定关联的非必要技术特征、原理、公式等，导致权利要求冗长的情形。</w:t>
            </w:r>
          </w:p>
        </w:tc>
        <w:tc>
          <w:tcPr>
            <w:tcW w:w="4579" w:type="dxa"/>
            <w:noWrap/>
            <w:vAlign w:val="center"/>
          </w:tcPr>
          <w:p w14:paraId="3A1F90BE">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每件扣2分，最高扣10分。</w:t>
            </w:r>
          </w:p>
        </w:tc>
      </w:tr>
      <w:tr w14:paraId="7585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446" w:type="dxa"/>
            <w:vMerge w:val="continue"/>
            <w:noWrap/>
            <w:vAlign w:val="center"/>
          </w:tcPr>
          <w:p w14:paraId="54555610">
            <w:pPr>
              <w:jc w:val="center"/>
              <w:rPr>
                <w:rFonts w:ascii="仿宋_GB2312" w:hAnsi="仿宋_GB2312" w:eastAsia="仿宋_GB2312" w:cs="仿宋_GB2312"/>
                <w:szCs w:val="21"/>
                <w:highlight w:val="none"/>
              </w:rPr>
            </w:pPr>
          </w:p>
        </w:tc>
        <w:tc>
          <w:tcPr>
            <w:tcW w:w="1193" w:type="dxa"/>
            <w:vMerge w:val="continue"/>
            <w:noWrap/>
            <w:vAlign w:val="center"/>
          </w:tcPr>
          <w:p w14:paraId="4BFC1AE8">
            <w:pPr>
              <w:jc w:val="center"/>
              <w:rPr>
                <w:rFonts w:ascii="仿宋_GB2312" w:hAnsi="仿宋_GB2312" w:eastAsia="仿宋_GB2312" w:cs="仿宋_GB2312"/>
                <w:szCs w:val="21"/>
                <w:highlight w:val="none"/>
              </w:rPr>
            </w:pPr>
          </w:p>
        </w:tc>
        <w:tc>
          <w:tcPr>
            <w:tcW w:w="1496" w:type="dxa"/>
            <w:noWrap/>
            <w:vAlign w:val="center"/>
          </w:tcPr>
          <w:p w14:paraId="4F5C42A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其他情况</w:t>
            </w:r>
          </w:p>
          <w:p w14:paraId="2C78E61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571" w:type="dxa"/>
            <w:noWrap/>
            <w:vAlign w:val="center"/>
          </w:tcPr>
          <w:p w14:paraId="10A759CE">
            <w:pPr>
              <w:jc w:val="center"/>
              <w:rPr>
                <w:rFonts w:ascii="仿宋_GB2312" w:hAnsi="仿宋_GB2312" w:eastAsia="仿宋_GB2312" w:cs="仿宋_GB2312"/>
                <w:szCs w:val="21"/>
                <w:highlight w:val="none"/>
              </w:rPr>
            </w:pPr>
            <w:r>
              <w:rPr>
                <w:rFonts w:ascii="仿宋_GB2312" w:hAnsi="仿宋_GB2312" w:eastAsia="仿宋_GB2312" w:cs="仿宋_GB2312"/>
                <w:szCs w:val="21"/>
                <w:highlight w:val="none"/>
              </w:rPr>
              <w:t>证明材料</w:t>
            </w:r>
            <w:r>
              <w:rPr>
                <w:rFonts w:hint="eastAsia" w:ascii="仿宋_GB2312" w:hAnsi="仿宋_GB2312" w:eastAsia="仿宋_GB2312" w:cs="仿宋_GB2312"/>
                <w:szCs w:val="21"/>
                <w:highlight w:val="none"/>
              </w:rPr>
              <w:t>不充分或无法提交的</w:t>
            </w:r>
          </w:p>
        </w:tc>
        <w:tc>
          <w:tcPr>
            <w:tcW w:w="4665" w:type="dxa"/>
            <w:noWrap/>
            <w:vAlign w:val="center"/>
          </w:tcPr>
          <w:p w14:paraId="2CE04BF5">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一年内，提交的预审案件，预审阶段要求提交研发证明等材料，未能按时提交或者提交的材料不足以证明研发能力。</w:t>
            </w:r>
          </w:p>
        </w:tc>
        <w:tc>
          <w:tcPr>
            <w:tcW w:w="4579" w:type="dxa"/>
            <w:noWrap/>
            <w:vAlign w:val="center"/>
          </w:tcPr>
          <w:p w14:paraId="1263733A">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每件扣2分，最高扣10分。</w:t>
            </w:r>
          </w:p>
        </w:tc>
      </w:tr>
      <w:bookmarkEnd w:id="7"/>
      <w:bookmarkEnd w:id="8"/>
    </w:tbl>
    <w:p w14:paraId="6618A111">
      <w:pPr>
        <w:spacing w:line="560" w:lineRule="exact"/>
        <w:rPr>
          <w:rFonts w:ascii="方正小标宋简体" w:hAnsi="方正小标宋简体" w:eastAsia="方正小标宋简体" w:cs="方正小标宋简体"/>
          <w:sz w:val="40"/>
          <w:szCs w:val="44"/>
          <w:highlight w:val="none"/>
        </w:rPr>
      </w:pPr>
      <w:r>
        <w:rPr>
          <w:rFonts w:hint="eastAsia" w:ascii="仿宋_GB2312" w:hAnsi="仿宋_GB2312" w:eastAsia="仿宋_GB2312" w:cs="仿宋_GB2312"/>
          <w:szCs w:val="21"/>
          <w:highlight w:val="none"/>
        </w:rPr>
        <w:t>注：根据基础指标确定基础评级，结合加分、扣分指标的最终分数，确定最终评级结果</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br w:type="page"/>
      </w:r>
      <w:r>
        <w:rPr>
          <w:rFonts w:hint="eastAsia" w:ascii="黑体" w:hAnsi="黑体" w:eastAsia="黑体" w:cs="仿宋_GB2312"/>
          <w:sz w:val="32"/>
          <w:szCs w:val="32"/>
          <w:highlight w:val="none"/>
        </w:rPr>
        <w:t>附件2</w:t>
      </w:r>
    </w:p>
    <w:p w14:paraId="5DE0B03C">
      <w:pPr>
        <w:spacing w:line="560" w:lineRule="exact"/>
        <w:jc w:val="center"/>
        <w:rPr>
          <w:highlight w:val="none"/>
        </w:rPr>
      </w:pPr>
      <w:r>
        <w:rPr>
          <w:rFonts w:hint="eastAsia" w:ascii="方正小标宋简体" w:hAnsi="方正小标宋简体" w:eastAsia="方正小标宋简体" w:cs="方正小标宋简体"/>
          <w:sz w:val="40"/>
          <w:szCs w:val="44"/>
          <w:highlight w:val="none"/>
        </w:rPr>
        <w:t>北京市知识产权保护中心代理机构分级评价指标</w:t>
      </w:r>
    </w:p>
    <w:p w14:paraId="112CC248">
      <w:pPr>
        <w:spacing w:line="560" w:lineRule="exact"/>
        <w:rPr>
          <w:rFonts w:ascii="仿宋_GB2312" w:hAnsi="仿宋_GB2312" w:eastAsia="仿宋_GB2312" w:cs="仿宋_GB2312"/>
          <w:sz w:val="32"/>
          <w:szCs w:val="32"/>
          <w:highlight w:val="none"/>
        </w:rPr>
      </w:pPr>
    </w:p>
    <w:tbl>
      <w:tblPr>
        <w:tblStyle w:val="4"/>
        <w:tblW w:w="13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
        <w:gridCol w:w="1193"/>
        <w:gridCol w:w="1496"/>
        <w:gridCol w:w="1709"/>
        <w:gridCol w:w="2803"/>
        <w:gridCol w:w="5657"/>
      </w:tblGrid>
      <w:tr w14:paraId="7836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46" w:type="dxa"/>
            <w:noWrap/>
            <w:vAlign w:val="center"/>
          </w:tcPr>
          <w:p w14:paraId="16E407A8">
            <w:pPr>
              <w:jc w:val="center"/>
              <w:rPr>
                <w:rFonts w:ascii="仿宋_GB2312" w:hAnsi="仿宋_GB2312" w:eastAsia="仿宋_GB2312" w:cs="仿宋_GB2312"/>
                <w:b/>
                <w:bCs/>
                <w:szCs w:val="21"/>
                <w:highlight w:val="none"/>
              </w:rPr>
            </w:pPr>
            <w:r>
              <w:rPr>
                <w:rFonts w:ascii="仿宋_GB2312" w:hAnsi="仿宋_GB2312" w:eastAsia="仿宋_GB2312" w:cs="仿宋_GB2312"/>
                <w:sz w:val="32"/>
                <w:szCs w:val="32"/>
                <w:highlight w:val="none"/>
              </w:rPr>
              <w:br w:type="page"/>
            </w:r>
            <w:r>
              <w:rPr>
                <w:rFonts w:hint="eastAsia" w:ascii="仿宋_GB2312" w:hAnsi="仿宋_GB2312" w:eastAsia="仿宋_GB2312" w:cs="仿宋_GB2312"/>
                <w:b/>
                <w:bCs/>
                <w:szCs w:val="21"/>
                <w:highlight w:val="none"/>
              </w:rPr>
              <w:t>序号</w:t>
            </w:r>
          </w:p>
        </w:tc>
        <w:tc>
          <w:tcPr>
            <w:tcW w:w="1193" w:type="dxa"/>
            <w:noWrap/>
            <w:vAlign w:val="center"/>
          </w:tcPr>
          <w:p w14:paraId="2D2CC36E">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一级指标</w:t>
            </w:r>
          </w:p>
        </w:tc>
        <w:tc>
          <w:tcPr>
            <w:tcW w:w="1496" w:type="dxa"/>
            <w:noWrap/>
            <w:vAlign w:val="center"/>
          </w:tcPr>
          <w:p w14:paraId="4AB880B7">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二级指标</w:t>
            </w:r>
          </w:p>
        </w:tc>
        <w:tc>
          <w:tcPr>
            <w:tcW w:w="1709" w:type="dxa"/>
            <w:noWrap/>
            <w:vAlign w:val="center"/>
          </w:tcPr>
          <w:p w14:paraId="71C65A53">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三级指标</w:t>
            </w:r>
          </w:p>
        </w:tc>
        <w:tc>
          <w:tcPr>
            <w:tcW w:w="2803" w:type="dxa"/>
            <w:noWrap/>
            <w:vAlign w:val="center"/>
          </w:tcPr>
          <w:p w14:paraId="68B4D74D">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指标内容含义及计算方式</w:t>
            </w:r>
          </w:p>
        </w:tc>
        <w:tc>
          <w:tcPr>
            <w:tcW w:w="5657" w:type="dxa"/>
            <w:noWrap/>
            <w:vAlign w:val="center"/>
          </w:tcPr>
          <w:p w14:paraId="29421732">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评分标准及说明</w:t>
            </w:r>
          </w:p>
        </w:tc>
      </w:tr>
      <w:tr w14:paraId="02BE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46" w:type="dxa"/>
            <w:vMerge w:val="restart"/>
            <w:noWrap/>
            <w:vAlign w:val="center"/>
          </w:tcPr>
          <w:p w14:paraId="7BE33017">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193" w:type="dxa"/>
            <w:vMerge w:val="restart"/>
            <w:noWrap/>
            <w:vAlign w:val="center"/>
          </w:tcPr>
          <w:p w14:paraId="0098048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基础指标</w:t>
            </w:r>
          </w:p>
        </w:tc>
        <w:tc>
          <w:tcPr>
            <w:tcW w:w="1496" w:type="dxa"/>
            <w:vMerge w:val="restart"/>
            <w:noWrap/>
            <w:vAlign w:val="center"/>
          </w:tcPr>
          <w:p w14:paraId="612BD78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预审质量情况</w:t>
            </w:r>
          </w:p>
        </w:tc>
        <w:tc>
          <w:tcPr>
            <w:tcW w:w="1709" w:type="dxa"/>
            <w:noWrap/>
            <w:vAlign w:val="center"/>
          </w:tcPr>
          <w:p w14:paraId="649FCBEC">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w:t>
            </w:r>
          </w:p>
        </w:tc>
        <w:tc>
          <w:tcPr>
            <w:tcW w:w="2803" w:type="dxa"/>
            <w:noWrap/>
            <w:vAlign w:val="center"/>
          </w:tcPr>
          <w:p w14:paraId="20C3F7DD">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一年内，预审合格进入国家知识产权局快速审查通道的案件量与预审接受量的比值。</w:t>
            </w:r>
          </w:p>
        </w:tc>
        <w:tc>
          <w:tcPr>
            <w:tcW w:w="5657" w:type="dxa"/>
            <w:vMerge w:val="restart"/>
            <w:noWrap/>
            <w:vAlign w:val="center"/>
          </w:tcPr>
          <w:p w14:paraId="352A9CD4">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预审接受量5件（含）以上的计算预审合格率，预审合格进入国家知识产权局快审通道审结案件5件（含）以上的计算审结授权率：</w:t>
            </w:r>
          </w:p>
          <w:p w14:paraId="0F946907">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预审合格率&gt;90.0%（含）且审结授权率&gt;90.0%（含），定为A级;</w:t>
            </w:r>
          </w:p>
          <w:p w14:paraId="5D769BFA">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预审合格率＜80.0%或审结授权率＜80.0%，定为C级。</w:t>
            </w:r>
          </w:p>
          <w:p w14:paraId="38E8A065">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国家知识产权局确定的专利代理机构信用评价结果为B、C、D等级，定为C级。</w:t>
            </w:r>
          </w:p>
          <w:p w14:paraId="278897C9">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其他定为B级。</w:t>
            </w:r>
          </w:p>
        </w:tc>
      </w:tr>
      <w:tr w14:paraId="032E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dxa"/>
            <w:vMerge w:val="continue"/>
            <w:noWrap/>
            <w:vAlign w:val="center"/>
          </w:tcPr>
          <w:p w14:paraId="397FC8F8">
            <w:pPr>
              <w:jc w:val="center"/>
              <w:rPr>
                <w:rFonts w:ascii="仿宋_GB2312" w:hAnsi="仿宋_GB2312" w:eastAsia="仿宋_GB2312" w:cs="仿宋_GB2312"/>
                <w:szCs w:val="21"/>
                <w:highlight w:val="none"/>
              </w:rPr>
            </w:pPr>
          </w:p>
        </w:tc>
        <w:tc>
          <w:tcPr>
            <w:tcW w:w="1193" w:type="dxa"/>
            <w:vMerge w:val="continue"/>
            <w:noWrap/>
            <w:vAlign w:val="center"/>
          </w:tcPr>
          <w:p w14:paraId="2BBD1D44">
            <w:pPr>
              <w:jc w:val="center"/>
              <w:rPr>
                <w:rFonts w:ascii="仿宋_GB2312" w:hAnsi="仿宋_GB2312" w:eastAsia="仿宋_GB2312" w:cs="仿宋_GB2312"/>
                <w:szCs w:val="21"/>
                <w:highlight w:val="none"/>
              </w:rPr>
            </w:pPr>
          </w:p>
        </w:tc>
        <w:tc>
          <w:tcPr>
            <w:tcW w:w="1496" w:type="dxa"/>
            <w:vMerge w:val="continue"/>
            <w:noWrap/>
            <w:vAlign w:val="center"/>
          </w:tcPr>
          <w:p w14:paraId="74335803">
            <w:pPr>
              <w:jc w:val="center"/>
              <w:rPr>
                <w:rFonts w:ascii="仿宋_GB2312" w:hAnsi="仿宋_GB2312" w:eastAsia="仿宋_GB2312" w:cs="仿宋_GB2312"/>
                <w:szCs w:val="21"/>
                <w:highlight w:val="none"/>
              </w:rPr>
            </w:pPr>
          </w:p>
        </w:tc>
        <w:tc>
          <w:tcPr>
            <w:tcW w:w="1709" w:type="dxa"/>
            <w:noWrap/>
            <w:vAlign w:val="center"/>
          </w:tcPr>
          <w:p w14:paraId="5F3F0FB9">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审结授权率</w:t>
            </w:r>
          </w:p>
        </w:tc>
        <w:tc>
          <w:tcPr>
            <w:tcW w:w="2803" w:type="dxa"/>
            <w:noWrap/>
            <w:vAlign w:val="center"/>
          </w:tcPr>
          <w:p w14:paraId="23D06CBD">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一年内，预审合格进入国家知识产权局快速审查通道的专利授权量与审结量的比值。</w:t>
            </w:r>
          </w:p>
        </w:tc>
        <w:tc>
          <w:tcPr>
            <w:tcW w:w="5657" w:type="dxa"/>
            <w:vMerge w:val="continue"/>
            <w:noWrap/>
            <w:vAlign w:val="center"/>
          </w:tcPr>
          <w:p w14:paraId="2F9519DB">
            <w:pPr>
              <w:jc w:val="left"/>
              <w:rPr>
                <w:rFonts w:ascii="仿宋_GB2312" w:hAnsi="仿宋_GB2312" w:eastAsia="仿宋_GB2312" w:cs="仿宋_GB2312"/>
                <w:szCs w:val="21"/>
                <w:highlight w:val="none"/>
              </w:rPr>
            </w:pPr>
          </w:p>
        </w:tc>
      </w:tr>
      <w:tr w14:paraId="1BC34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dxa"/>
            <w:vMerge w:val="restart"/>
            <w:tcBorders>
              <w:top w:val="single" w:color="auto" w:sz="4" w:space="0"/>
            </w:tcBorders>
            <w:noWrap/>
            <w:vAlign w:val="center"/>
          </w:tcPr>
          <w:p w14:paraId="6E8D551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193" w:type="dxa"/>
            <w:vMerge w:val="restart"/>
            <w:noWrap/>
            <w:vAlign w:val="center"/>
          </w:tcPr>
          <w:p w14:paraId="121FF9B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加分指标</w:t>
            </w:r>
          </w:p>
          <w:p w14:paraId="136C5C0A">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（每加10分提升一个等级）</w:t>
            </w:r>
          </w:p>
        </w:tc>
        <w:tc>
          <w:tcPr>
            <w:tcW w:w="1496" w:type="dxa"/>
            <w:noWrap/>
            <w:vAlign w:val="center"/>
          </w:tcPr>
          <w:p w14:paraId="4EDEEC2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相关荣誉（最高10分）</w:t>
            </w:r>
          </w:p>
        </w:tc>
        <w:tc>
          <w:tcPr>
            <w:tcW w:w="1709" w:type="dxa"/>
            <w:noWrap/>
            <w:vAlign w:val="center"/>
          </w:tcPr>
          <w:p w14:paraId="0E39AC2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预审合格后授权专利获得奖项荣誉</w:t>
            </w:r>
          </w:p>
        </w:tc>
        <w:tc>
          <w:tcPr>
            <w:tcW w:w="2803" w:type="dxa"/>
            <w:noWrap/>
            <w:vAlign w:val="center"/>
          </w:tcPr>
          <w:p w14:paraId="4481333D">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预审合格后授权专利获得中国专利奖及其他市、区级奖项或其他荣誉。</w:t>
            </w:r>
          </w:p>
        </w:tc>
        <w:tc>
          <w:tcPr>
            <w:tcW w:w="5657" w:type="dxa"/>
            <w:noWrap/>
            <w:vAlign w:val="center"/>
          </w:tcPr>
          <w:p w14:paraId="40349EFA">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获得中国专利奖金奖加10分，银奖加8分，优秀奖加6分。获得其他市、区级奖项加5分。</w:t>
            </w:r>
          </w:p>
          <w:p w14:paraId="566FB71D">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获评</w:t>
            </w:r>
            <w:r>
              <w:rPr>
                <w:rFonts w:ascii="仿宋_GB2312" w:hAnsi="仿宋_GB2312" w:eastAsia="仿宋_GB2312" w:cs="仿宋_GB2312"/>
                <w:szCs w:val="21"/>
                <w:highlight w:val="none"/>
              </w:rPr>
              <w:t>中华全国专利代理师协会全国典型发明专利撰写案例</w:t>
            </w:r>
            <w:r>
              <w:rPr>
                <w:rFonts w:hint="eastAsia" w:ascii="仿宋_GB2312" w:hAnsi="仿宋_GB2312" w:eastAsia="仿宋_GB2312" w:cs="仿宋_GB2312"/>
                <w:szCs w:val="21"/>
                <w:highlight w:val="none"/>
              </w:rPr>
              <w:t>，加5分。</w:t>
            </w:r>
          </w:p>
        </w:tc>
      </w:tr>
      <w:tr w14:paraId="3626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dxa"/>
            <w:vMerge w:val="continue"/>
            <w:noWrap/>
            <w:vAlign w:val="center"/>
          </w:tcPr>
          <w:p w14:paraId="52985AA9">
            <w:pPr>
              <w:jc w:val="center"/>
              <w:rPr>
                <w:rFonts w:ascii="仿宋_GB2312" w:hAnsi="仿宋_GB2312" w:eastAsia="仿宋_GB2312" w:cs="仿宋_GB2312"/>
                <w:szCs w:val="21"/>
                <w:highlight w:val="none"/>
              </w:rPr>
            </w:pPr>
          </w:p>
        </w:tc>
        <w:tc>
          <w:tcPr>
            <w:tcW w:w="1193" w:type="dxa"/>
            <w:vMerge w:val="continue"/>
            <w:noWrap/>
            <w:vAlign w:val="center"/>
          </w:tcPr>
          <w:p w14:paraId="69D848EF">
            <w:pPr>
              <w:jc w:val="center"/>
              <w:rPr>
                <w:rFonts w:ascii="仿宋_GB2312" w:hAnsi="仿宋_GB2312" w:eastAsia="仿宋_GB2312" w:cs="仿宋_GB2312"/>
                <w:szCs w:val="21"/>
                <w:highlight w:val="none"/>
              </w:rPr>
            </w:pPr>
          </w:p>
        </w:tc>
        <w:tc>
          <w:tcPr>
            <w:tcW w:w="1496" w:type="dxa"/>
            <w:noWrap/>
            <w:vAlign w:val="center"/>
          </w:tcPr>
          <w:p w14:paraId="11B0F78D">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工作</w:t>
            </w:r>
          </w:p>
          <w:p w14:paraId="65B2E293">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配合情况</w:t>
            </w:r>
          </w:p>
          <w:p w14:paraId="65162409">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709" w:type="dxa"/>
            <w:noWrap/>
            <w:vAlign w:val="center"/>
          </w:tcPr>
          <w:p w14:paraId="6CDD87CB">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配合开展各项工作</w:t>
            </w:r>
          </w:p>
        </w:tc>
        <w:tc>
          <w:tcPr>
            <w:tcW w:w="2803" w:type="dxa"/>
            <w:noWrap/>
            <w:vAlign w:val="center"/>
          </w:tcPr>
          <w:p w14:paraId="2B9D2C5C">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一年内，报送预审服务效果相关典型案例，配合开展经验分享、调研座谈、需求调查等工作。</w:t>
            </w:r>
          </w:p>
        </w:tc>
        <w:tc>
          <w:tcPr>
            <w:tcW w:w="5657" w:type="dxa"/>
            <w:noWrap/>
            <w:vAlign w:val="center"/>
          </w:tcPr>
          <w:p w14:paraId="3561C9A8">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报送北京保护中心预审服务效果案例被省级以上部门采纳，每个案例加10分，被北京保护中心采纳，每个案例加5分；提供经验分享，每次加2分；配合参与调研、座谈、需求调查等工作，每次加1分。</w:t>
            </w:r>
          </w:p>
        </w:tc>
      </w:tr>
      <w:tr w14:paraId="1035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446" w:type="dxa"/>
            <w:vMerge w:val="restart"/>
            <w:noWrap/>
            <w:vAlign w:val="center"/>
          </w:tcPr>
          <w:p w14:paraId="5A80317A">
            <w:pPr>
              <w:jc w:val="center"/>
              <w:rPr>
                <w:rFonts w:ascii="仿宋_GB2312" w:hAnsi="仿宋_GB2312" w:eastAsia="仿宋_GB2312" w:cs="仿宋_GB2312"/>
                <w:szCs w:val="21"/>
                <w:highlight w:val="none"/>
              </w:rPr>
            </w:pPr>
          </w:p>
          <w:p w14:paraId="3ED4829E">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193" w:type="dxa"/>
            <w:vMerge w:val="restart"/>
            <w:noWrap/>
            <w:vAlign w:val="center"/>
          </w:tcPr>
          <w:p w14:paraId="52DCE69B">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扣分指标</w:t>
            </w:r>
          </w:p>
          <w:p w14:paraId="6AC340FD">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（每扣10分下降一个等级）</w:t>
            </w:r>
          </w:p>
        </w:tc>
        <w:tc>
          <w:tcPr>
            <w:tcW w:w="1496" w:type="dxa"/>
            <w:vMerge w:val="restart"/>
            <w:noWrap/>
            <w:vAlign w:val="center"/>
          </w:tcPr>
          <w:p w14:paraId="6D79D97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信用情况</w:t>
            </w:r>
          </w:p>
          <w:p w14:paraId="71E7C58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709" w:type="dxa"/>
            <w:noWrap/>
            <w:vAlign w:val="center"/>
          </w:tcPr>
          <w:p w14:paraId="7D917EE9">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违反专利预审相关制度</w:t>
            </w:r>
          </w:p>
        </w:tc>
        <w:tc>
          <w:tcPr>
            <w:tcW w:w="2803" w:type="dxa"/>
            <w:noWrap/>
            <w:vAlign w:val="center"/>
          </w:tcPr>
          <w:p w14:paraId="1CACE0F6">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一年内，违反北京保护中心《专利申请预审服务管理办法》。</w:t>
            </w:r>
          </w:p>
        </w:tc>
        <w:tc>
          <w:tcPr>
            <w:tcW w:w="5657" w:type="dxa"/>
            <w:noWrap/>
            <w:vAlign w:val="center"/>
          </w:tcPr>
          <w:p w14:paraId="3AE6B4F9">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被暂停专利预审服务，扣10分。</w:t>
            </w:r>
          </w:p>
        </w:tc>
      </w:tr>
      <w:tr w14:paraId="03F2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446" w:type="dxa"/>
            <w:vMerge w:val="continue"/>
            <w:noWrap/>
            <w:vAlign w:val="center"/>
          </w:tcPr>
          <w:p w14:paraId="13C56F92">
            <w:pPr>
              <w:jc w:val="center"/>
              <w:rPr>
                <w:rFonts w:ascii="仿宋_GB2312" w:hAnsi="仿宋_GB2312" w:eastAsia="仿宋_GB2312" w:cs="仿宋_GB2312"/>
                <w:szCs w:val="21"/>
                <w:highlight w:val="none"/>
              </w:rPr>
            </w:pPr>
          </w:p>
        </w:tc>
        <w:tc>
          <w:tcPr>
            <w:tcW w:w="1193" w:type="dxa"/>
            <w:vMerge w:val="continue"/>
            <w:noWrap/>
            <w:vAlign w:val="center"/>
          </w:tcPr>
          <w:p w14:paraId="2795819A">
            <w:pPr>
              <w:jc w:val="center"/>
              <w:rPr>
                <w:rFonts w:ascii="仿宋_GB2312" w:hAnsi="仿宋_GB2312" w:eastAsia="仿宋_GB2312" w:cs="仿宋_GB2312"/>
                <w:szCs w:val="21"/>
                <w:highlight w:val="none"/>
              </w:rPr>
            </w:pPr>
          </w:p>
        </w:tc>
        <w:tc>
          <w:tcPr>
            <w:tcW w:w="1496" w:type="dxa"/>
            <w:vMerge w:val="continue"/>
            <w:noWrap/>
            <w:vAlign w:val="center"/>
          </w:tcPr>
          <w:p w14:paraId="132172BF">
            <w:pPr>
              <w:jc w:val="center"/>
              <w:rPr>
                <w:rFonts w:ascii="仿宋_GB2312" w:hAnsi="仿宋_GB2312" w:eastAsia="仿宋_GB2312" w:cs="仿宋_GB2312"/>
                <w:szCs w:val="21"/>
                <w:highlight w:val="none"/>
              </w:rPr>
            </w:pPr>
          </w:p>
        </w:tc>
        <w:tc>
          <w:tcPr>
            <w:tcW w:w="1709" w:type="dxa"/>
            <w:noWrap/>
            <w:vAlign w:val="center"/>
          </w:tcPr>
          <w:p w14:paraId="639214F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涉及不以保护创新为目的的专利申请</w:t>
            </w:r>
          </w:p>
        </w:tc>
        <w:tc>
          <w:tcPr>
            <w:tcW w:w="2803" w:type="dxa"/>
            <w:noWrap/>
            <w:vAlign w:val="center"/>
          </w:tcPr>
          <w:p w14:paraId="6FE60B4A">
            <w:pPr>
              <w:widowControl/>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三年内，预审合格进入国家知识产权局快速审查通道的案件存在不以保护创新为目的的专利申请（申诉成功的除外）。</w:t>
            </w:r>
          </w:p>
        </w:tc>
        <w:tc>
          <w:tcPr>
            <w:tcW w:w="5657" w:type="dxa"/>
            <w:noWrap/>
            <w:vAlign w:val="center"/>
          </w:tcPr>
          <w:p w14:paraId="726CEE78">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出现该情形，扣10分。</w:t>
            </w:r>
          </w:p>
        </w:tc>
      </w:tr>
      <w:tr w14:paraId="03AC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446" w:type="dxa"/>
            <w:vMerge w:val="continue"/>
            <w:noWrap/>
            <w:vAlign w:val="center"/>
          </w:tcPr>
          <w:p w14:paraId="188B84C3">
            <w:pPr>
              <w:jc w:val="center"/>
              <w:rPr>
                <w:rFonts w:ascii="仿宋_GB2312" w:hAnsi="仿宋_GB2312" w:eastAsia="仿宋_GB2312" w:cs="仿宋_GB2312"/>
                <w:szCs w:val="21"/>
                <w:highlight w:val="none"/>
              </w:rPr>
            </w:pPr>
          </w:p>
        </w:tc>
        <w:tc>
          <w:tcPr>
            <w:tcW w:w="1193" w:type="dxa"/>
            <w:vMerge w:val="continue"/>
            <w:noWrap/>
            <w:vAlign w:val="center"/>
          </w:tcPr>
          <w:p w14:paraId="2563FAF6">
            <w:pPr>
              <w:jc w:val="center"/>
              <w:rPr>
                <w:rFonts w:ascii="仿宋_GB2312" w:hAnsi="仿宋_GB2312" w:eastAsia="仿宋_GB2312" w:cs="仿宋_GB2312"/>
                <w:szCs w:val="21"/>
                <w:highlight w:val="none"/>
              </w:rPr>
            </w:pPr>
          </w:p>
        </w:tc>
        <w:tc>
          <w:tcPr>
            <w:tcW w:w="1496" w:type="dxa"/>
            <w:noWrap/>
            <w:vAlign w:val="center"/>
          </w:tcPr>
          <w:p w14:paraId="7FA23EFE">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预审合格后授权专利情况</w:t>
            </w:r>
          </w:p>
          <w:p w14:paraId="2554131E">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709" w:type="dxa"/>
            <w:noWrap/>
            <w:vAlign w:val="center"/>
          </w:tcPr>
          <w:p w14:paraId="214EEBA5">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权利要求保护范围</w:t>
            </w:r>
          </w:p>
        </w:tc>
        <w:tc>
          <w:tcPr>
            <w:tcW w:w="2803" w:type="dxa"/>
            <w:noWrap/>
            <w:vAlign w:val="center"/>
          </w:tcPr>
          <w:p w14:paraId="668614C6">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一年内，预审合格后授权专利，存在权利要求技术特征琐碎纷杂、简单功能复杂化，引入大量与发明贡献无特定关联的非必要技术特征、原理、公式等，导致权利要求冗长的情形。</w:t>
            </w:r>
          </w:p>
        </w:tc>
        <w:tc>
          <w:tcPr>
            <w:tcW w:w="5657" w:type="dxa"/>
            <w:noWrap/>
            <w:vAlign w:val="center"/>
          </w:tcPr>
          <w:p w14:paraId="005ABA09">
            <w:pPr>
              <w:widowControl/>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每件扣2分，最高扣10分。</w:t>
            </w:r>
          </w:p>
        </w:tc>
      </w:tr>
      <w:tr w14:paraId="446D0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446" w:type="dxa"/>
            <w:vMerge w:val="continue"/>
            <w:noWrap/>
            <w:vAlign w:val="center"/>
          </w:tcPr>
          <w:p w14:paraId="5A18A1E1">
            <w:pPr>
              <w:jc w:val="center"/>
              <w:rPr>
                <w:rFonts w:ascii="仿宋_GB2312" w:hAnsi="仿宋_GB2312" w:eastAsia="仿宋_GB2312" w:cs="仿宋_GB2312"/>
                <w:szCs w:val="21"/>
                <w:highlight w:val="none"/>
              </w:rPr>
            </w:pPr>
          </w:p>
        </w:tc>
        <w:tc>
          <w:tcPr>
            <w:tcW w:w="1193" w:type="dxa"/>
            <w:vMerge w:val="continue"/>
            <w:noWrap/>
            <w:vAlign w:val="center"/>
          </w:tcPr>
          <w:p w14:paraId="65002202">
            <w:pPr>
              <w:jc w:val="center"/>
              <w:rPr>
                <w:rFonts w:ascii="仿宋_GB2312" w:hAnsi="仿宋_GB2312" w:eastAsia="仿宋_GB2312" w:cs="仿宋_GB2312"/>
                <w:szCs w:val="21"/>
                <w:highlight w:val="none"/>
              </w:rPr>
            </w:pPr>
          </w:p>
        </w:tc>
        <w:tc>
          <w:tcPr>
            <w:tcW w:w="1496" w:type="dxa"/>
            <w:noWrap/>
            <w:vAlign w:val="center"/>
          </w:tcPr>
          <w:p w14:paraId="5A20DB99">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其他情况</w:t>
            </w:r>
          </w:p>
          <w:p w14:paraId="3DF03FE9">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（最高10分）</w:t>
            </w:r>
          </w:p>
        </w:tc>
        <w:tc>
          <w:tcPr>
            <w:tcW w:w="1709" w:type="dxa"/>
            <w:noWrap/>
            <w:vAlign w:val="center"/>
          </w:tcPr>
          <w:p w14:paraId="38E18A2F">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证明材料不充分或无法提交的</w:t>
            </w:r>
          </w:p>
        </w:tc>
        <w:tc>
          <w:tcPr>
            <w:tcW w:w="2803" w:type="dxa"/>
            <w:noWrap/>
            <w:vAlign w:val="center"/>
          </w:tcPr>
          <w:p w14:paraId="1160A5C4">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一年内，提交的预审案件，预审阶段要求提交研发证明等材料，未能按时提交或者提交的材料不足以证明研发能力。</w:t>
            </w:r>
          </w:p>
        </w:tc>
        <w:tc>
          <w:tcPr>
            <w:tcW w:w="5657" w:type="dxa"/>
            <w:noWrap/>
            <w:vAlign w:val="center"/>
          </w:tcPr>
          <w:p w14:paraId="19D74AB5">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每件扣2分，最高扣10分。</w:t>
            </w:r>
          </w:p>
        </w:tc>
      </w:tr>
    </w:tbl>
    <w:p w14:paraId="6A3F6010">
      <w:pPr>
        <w:widowControl/>
        <w:jc w:val="left"/>
        <w:rPr>
          <w:rFonts w:ascii="仿宋_GB2312" w:hAnsi="黑体" w:eastAsia="仿宋_GB2312"/>
          <w:sz w:val="32"/>
          <w:szCs w:val="32"/>
          <w:highlight w:val="none"/>
        </w:rPr>
      </w:pPr>
      <w:r>
        <w:rPr>
          <w:rFonts w:hint="eastAsia" w:ascii="仿宋_GB2312" w:hAnsi="仿宋_GB2312" w:eastAsia="仿宋_GB2312" w:cs="仿宋_GB2312"/>
          <w:szCs w:val="21"/>
          <w:highlight w:val="none"/>
        </w:rPr>
        <w:t>注：根据基础指标确定基础评级，结合加分、扣分指标的最终分数，确定最终评级结果</w:t>
      </w:r>
      <w:r>
        <w:rPr>
          <w:rFonts w:hint="eastAsia" w:ascii="仿宋_GB2312" w:hAnsi="仿宋_GB2312" w:eastAsia="仿宋_GB2312" w:cs="仿宋_GB2312"/>
          <w:sz w:val="32"/>
          <w:szCs w:val="32"/>
          <w:highlight w:val="none"/>
        </w:rPr>
        <w:t>。</w:t>
      </w:r>
    </w:p>
    <w:p w14:paraId="1370F9EA">
      <w:pPr>
        <w:rPr>
          <w:highlight w:val="none"/>
        </w:rPr>
      </w:pPr>
    </w:p>
    <w:p w14:paraId="57FB5E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z w:val="32"/>
          <w:szCs w:val="32"/>
          <w:lang w:val="en-US" w:eastAsia="zh-CN"/>
        </w:rPr>
      </w:pPr>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BDA620-1825-46BE-8261-D7E3592C66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7AAA40E-B18E-482D-9188-77306BE44CCF}"/>
  </w:font>
  <w:font w:name="方正小标宋简体">
    <w:panose1 w:val="02000000000000000000"/>
    <w:charset w:val="86"/>
    <w:family w:val="script"/>
    <w:pitch w:val="default"/>
    <w:sig w:usb0="00000001" w:usb1="08000000" w:usb2="00000000" w:usb3="00000000" w:csb0="00040000" w:csb1="00000000"/>
    <w:embedRegular r:id="rId3" w:fontKey="{5CD81882-4366-4058-A645-4A53918FB457}"/>
  </w:font>
  <w:font w:name="仿宋">
    <w:panose1 w:val="02010609060101010101"/>
    <w:charset w:val="86"/>
    <w:family w:val="modern"/>
    <w:pitch w:val="default"/>
    <w:sig w:usb0="800002BF" w:usb1="38CF7CFA" w:usb2="00000016" w:usb3="00000000" w:csb0="00040001" w:csb1="00000000"/>
    <w:embedRegular r:id="rId4" w:fontKey="{B94515CE-6AE2-41BA-9D4A-C1A75C882EEA}"/>
  </w:font>
  <w:font w:name="Helvetica">
    <w:altName w:val="Arial"/>
    <w:panose1 w:val="020B0604020202020204"/>
    <w:charset w:val="00"/>
    <w:family w:val="swiss"/>
    <w:pitch w:val="default"/>
    <w:sig w:usb0="00000000" w:usb1="00000000" w:usb2="00000000" w:usb3="00000000" w:csb0="00000001" w:csb1="00000000"/>
    <w:embedRegular r:id="rId5" w:fontKey="{18BA2C2D-1BCF-40BC-BCA7-B32F6E9583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0742"/>
      <w:docPartObj>
        <w:docPartGallery w:val="autotext"/>
      </w:docPartObj>
    </w:sdtPr>
    <w:sdtContent>
      <w:p w14:paraId="35F6CBAA">
        <w:pPr>
          <w:pStyle w:val="3"/>
          <w:jc w:val="center"/>
        </w:pPr>
        <w:r>
          <w:rPr>
            <w:rFonts w:hint="eastAsia" w:asciiTheme="minorEastAsia" w:hAnsiTheme="minorEastAsia"/>
            <w:sz w:val="28"/>
          </w:rPr>
          <w:fldChar w:fldCharType="begin"/>
        </w:r>
        <w:r>
          <w:rPr>
            <w:rFonts w:hint="eastAsia" w:asciiTheme="minorEastAsia" w:hAnsiTheme="minorEastAsia"/>
            <w:sz w:val="28"/>
          </w:rPr>
          <w:instrText xml:space="preserve"> PAGE   \* MERGEFORMAT </w:instrText>
        </w:r>
        <w:r>
          <w:rPr>
            <w:rFonts w:hint="eastAsia"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1 -</w:t>
        </w:r>
        <w:r>
          <w:rPr>
            <w:rFonts w:hint="eastAsia" w:asciiTheme="minorEastAsia" w:hAnsiTheme="minorEastAsia"/>
            <w:sz w:val="28"/>
          </w:rPr>
          <w:fldChar w:fldCharType="end"/>
        </w:r>
      </w:p>
    </w:sdtContent>
  </w:sdt>
  <w:p w14:paraId="63EE9E0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AF7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992331">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D992331">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YWUyNDVmZGIxYzMzZDhlZGE1N2IyNjc4MmNkNjYifQ=="/>
  </w:docVars>
  <w:rsids>
    <w:rsidRoot w:val="00000000"/>
    <w:rsid w:val="0014291F"/>
    <w:rsid w:val="004C65B4"/>
    <w:rsid w:val="00F46622"/>
    <w:rsid w:val="01931848"/>
    <w:rsid w:val="02CC3F80"/>
    <w:rsid w:val="030E7CF6"/>
    <w:rsid w:val="04651AAE"/>
    <w:rsid w:val="065443AE"/>
    <w:rsid w:val="097924AD"/>
    <w:rsid w:val="09E576CD"/>
    <w:rsid w:val="0A3E4FF2"/>
    <w:rsid w:val="0C806723"/>
    <w:rsid w:val="10FB5DBA"/>
    <w:rsid w:val="11225F6C"/>
    <w:rsid w:val="11D32976"/>
    <w:rsid w:val="11E92A63"/>
    <w:rsid w:val="1292638E"/>
    <w:rsid w:val="12C0739F"/>
    <w:rsid w:val="133B07BF"/>
    <w:rsid w:val="13C702B9"/>
    <w:rsid w:val="146F0F54"/>
    <w:rsid w:val="165D2828"/>
    <w:rsid w:val="173F7F67"/>
    <w:rsid w:val="175C6F6A"/>
    <w:rsid w:val="17E62731"/>
    <w:rsid w:val="18662B42"/>
    <w:rsid w:val="18745D9B"/>
    <w:rsid w:val="19BA6B6B"/>
    <w:rsid w:val="19E00326"/>
    <w:rsid w:val="1B676F9E"/>
    <w:rsid w:val="1B965E08"/>
    <w:rsid w:val="1BDD4B1E"/>
    <w:rsid w:val="1C3E0D46"/>
    <w:rsid w:val="1CF218F5"/>
    <w:rsid w:val="1DE84147"/>
    <w:rsid w:val="1F657087"/>
    <w:rsid w:val="1F943C0B"/>
    <w:rsid w:val="20AC0F62"/>
    <w:rsid w:val="20BD7F29"/>
    <w:rsid w:val="21D77196"/>
    <w:rsid w:val="22421B7E"/>
    <w:rsid w:val="229B128E"/>
    <w:rsid w:val="24E30CCB"/>
    <w:rsid w:val="25B30B82"/>
    <w:rsid w:val="28E91BAC"/>
    <w:rsid w:val="29A7165B"/>
    <w:rsid w:val="2B9F5CDF"/>
    <w:rsid w:val="2BA34CD4"/>
    <w:rsid w:val="2BA52B2B"/>
    <w:rsid w:val="2BD50CD0"/>
    <w:rsid w:val="2C37549C"/>
    <w:rsid w:val="2C502C83"/>
    <w:rsid w:val="2C82701B"/>
    <w:rsid w:val="2E351701"/>
    <w:rsid w:val="2EB83212"/>
    <w:rsid w:val="2FC02334"/>
    <w:rsid w:val="30012AA5"/>
    <w:rsid w:val="30322524"/>
    <w:rsid w:val="304F6764"/>
    <w:rsid w:val="30DF03B3"/>
    <w:rsid w:val="32BF2576"/>
    <w:rsid w:val="33B977C6"/>
    <w:rsid w:val="33FB52BF"/>
    <w:rsid w:val="34C8178A"/>
    <w:rsid w:val="34CE26E5"/>
    <w:rsid w:val="37FC6E63"/>
    <w:rsid w:val="38DA17A4"/>
    <w:rsid w:val="39481580"/>
    <w:rsid w:val="3A677AF9"/>
    <w:rsid w:val="3B550268"/>
    <w:rsid w:val="3CDB255C"/>
    <w:rsid w:val="3D146E96"/>
    <w:rsid w:val="3D5567B2"/>
    <w:rsid w:val="3D5609AF"/>
    <w:rsid w:val="3DE732E4"/>
    <w:rsid w:val="40330901"/>
    <w:rsid w:val="40A3534F"/>
    <w:rsid w:val="40EF6587"/>
    <w:rsid w:val="415219CC"/>
    <w:rsid w:val="417E204F"/>
    <w:rsid w:val="41C757A4"/>
    <w:rsid w:val="41F61BE6"/>
    <w:rsid w:val="43B65AD0"/>
    <w:rsid w:val="44B4254D"/>
    <w:rsid w:val="45C84A44"/>
    <w:rsid w:val="46595450"/>
    <w:rsid w:val="47ED5839"/>
    <w:rsid w:val="48F57DFF"/>
    <w:rsid w:val="496D1A21"/>
    <w:rsid w:val="4BB22096"/>
    <w:rsid w:val="4BF554D5"/>
    <w:rsid w:val="4CD40D5D"/>
    <w:rsid w:val="4DD43DBB"/>
    <w:rsid w:val="4E004808"/>
    <w:rsid w:val="4E4C1E6E"/>
    <w:rsid w:val="4E9827FD"/>
    <w:rsid w:val="4FD749A5"/>
    <w:rsid w:val="5018027F"/>
    <w:rsid w:val="50B6576E"/>
    <w:rsid w:val="51084602"/>
    <w:rsid w:val="51254295"/>
    <w:rsid w:val="58D75E75"/>
    <w:rsid w:val="5D1256CE"/>
    <w:rsid w:val="5E5D5EDA"/>
    <w:rsid w:val="5EF43287"/>
    <w:rsid w:val="5F592F1C"/>
    <w:rsid w:val="5FD255E8"/>
    <w:rsid w:val="60940420"/>
    <w:rsid w:val="60F35816"/>
    <w:rsid w:val="6223355D"/>
    <w:rsid w:val="628B104E"/>
    <w:rsid w:val="639C1186"/>
    <w:rsid w:val="64E91A3B"/>
    <w:rsid w:val="65F76BF3"/>
    <w:rsid w:val="66846E4D"/>
    <w:rsid w:val="690D2406"/>
    <w:rsid w:val="691E26C3"/>
    <w:rsid w:val="694E2BF2"/>
    <w:rsid w:val="69591C34"/>
    <w:rsid w:val="69B6135D"/>
    <w:rsid w:val="6AAD4C88"/>
    <w:rsid w:val="6B3804DD"/>
    <w:rsid w:val="6BB4591A"/>
    <w:rsid w:val="6D050DAB"/>
    <w:rsid w:val="6D8C792E"/>
    <w:rsid w:val="6E1B3C2C"/>
    <w:rsid w:val="6E881C94"/>
    <w:rsid w:val="6F9A71A2"/>
    <w:rsid w:val="70E85735"/>
    <w:rsid w:val="727724DD"/>
    <w:rsid w:val="72AC67BD"/>
    <w:rsid w:val="73EA4857"/>
    <w:rsid w:val="73F676A0"/>
    <w:rsid w:val="740C5415"/>
    <w:rsid w:val="745E631E"/>
    <w:rsid w:val="7467439D"/>
    <w:rsid w:val="74773545"/>
    <w:rsid w:val="756C4FC3"/>
    <w:rsid w:val="7621652A"/>
    <w:rsid w:val="76D95E5B"/>
    <w:rsid w:val="77444BC6"/>
    <w:rsid w:val="788F38A5"/>
    <w:rsid w:val="79B302EA"/>
    <w:rsid w:val="79DA413D"/>
    <w:rsid w:val="7A505398"/>
    <w:rsid w:val="7A6730A5"/>
    <w:rsid w:val="7AB61937"/>
    <w:rsid w:val="7AB864FF"/>
    <w:rsid w:val="7BA75293"/>
    <w:rsid w:val="7C281328"/>
    <w:rsid w:val="7CC47DFC"/>
    <w:rsid w:val="7DCE7506"/>
    <w:rsid w:val="7F63377E"/>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宋体" w:hAnsi="宋体" w:eastAsia="仿宋_GB2312" w:cs="Times New Roman"/>
      <w:kern w:val="2"/>
      <w:sz w:val="3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250</Words>
  <Characters>253</Characters>
  <Lines>0</Lines>
  <Paragraphs>0</Paragraphs>
  <TotalTime>3</TotalTime>
  <ScaleCrop>false</ScaleCrop>
  <LinksUpToDate>false</LinksUpToDate>
  <CharactersWithSpaces>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2023-10-20T02:43:00Z</dcterms:created>
  <dc:creator>admin</dc:creator>
  <cp:lastModifiedBy>A solitary traveler</cp:lastModifiedBy>
  <cp:lastPrinted>2025-07-04T07:30:00Z</cp:lastPrinted>
  <dcterms:modified xsi:type="dcterms:W3CDTF">2025-10-13T06:52:06Z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7C5CBE4B6CAF419AA9F1D4355A4B2A2F_13</vt:lpwstr>
  </property>
  <property fmtid="{D5CDD505-2E9C-101B-9397-08002B2CF9AE}" pid="4" name="KSOTemplateDocerSaveRecord">
    <vt:lpwstr>eyJoZGlkIjoiYzRhYjUxOGM3ZjVkNDhmNGRlMzQwNGQ0ZTY1MTk3MTUiLCJ1c2VySWQiOiIyOTA0MDQ3NTgifQ==</vt:lpwstr>
  </property>
</Properties>
</file>