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692A7C">
      <w:pPr>
        <w:jc w:val="left"/>
        <w:rPr>
          <w:rFonts w:ascii="黑体" w:hAnsi="黑体" w:eastAsia="黑体"/>
          <w:bCs/>
          <w:sz w:val="32"/>
          <w:szCs w:val="32"/>
        </w:rPr>
      </w:pPr>
      <w:r>
        <w:rPr>
          <w:rFonts w:hint="eastAsia" w:ascii="黑体" w:hAnsi="黑体" w:eastAsia="黑体"/>
          <w:bCs/>
          <w:sz w:val="32"/>
          <w:szCs w:val="32"/>
        </w:rPr>
        <w:t>附件3</w:t>
      </w:r>
    </w:p>
    <w:p w14:paraId="4A6C34B0">
      <w:pPr>
        <w:ind w:firstLine="640"/>
        <w:jc w:val="left"/>
        <w:rPr>
          <w:rFonts w:ascii="黑体" w:hAnsi="黑体" w:eastAsia="黑体"/>
          <w:bCs/>
          <w:sz w:val="32"/>
          <w:szCs w:val="32"/>
        </w:rPr>
      </w:pPr>
    </w:p>
    <w:p w14:paraId="73B4A4A5">
      <w:pPr>
        <w:adjustRightInd w:val="0"/>
        <w:snapToGrid w:val="0"/>
        <w:jc w:val="center"/>
        <w:rPr>
          <w:rFonts w:ascii="方正小标宋简体" w:eastAsia="方正小标宋简体"/>
          <w:bCs/>
          <w:spacing w:val="-10"/>
          <w:sz w:val="44"/>
          <w:szCs w:val="44"/>
        </w:rPr>
      </w:pPr>
      <w:r>
        <w:rPr>
          <w:rFonts w:hint="eastAsia" w:ascii="方正小标宋简体" w:eastAsia="方正小标宋简体"/>
          <w:bCs/>
          <w:spacing w:val="-10"/>
          <w:sz w:val="44"/>
          <w:szCs w:val="44"/>
        </w:rPr>
        <w:t>北京市海外知识产权维权援助项目申报指南</w:t>
      </w:r>
    </w:p>
    <w:p w14:paraId="5CC73142">
      <w:pPr>
        <w:adjustRightInd w:val="0"/>
        <w:snapToGrid w:val="0"/>
        <w:jc w:val="center"/>
        <w:rPr>
          <w:rFonts w:ascii="楷体_GB2312" w:eastAsia="楷体_GB2312"/>
          <w:b/>
          <w:bCs/>
          <w:snapToGrid w:val="0"/>
          <w:kern w:val="0"/>
          <w:sz w:val="32"/>
          <w:szCs w:val="32"/>
        </w:rPr>
      </w:pPr>
      <w:r>
        <w:rPr>
          <w:rFonts w:hint="eastAsia" w:ascii="楷体_GB2312" w:eastAsia="楷体_GB2312"/>
          <w:b/>
          <w:bCs/>
          <w:snapToGrid w:val="0"/>
          <w:kern w:val="0"/>
          <w:sz w:val="32"/>
          <w:szCs w:val="32"/>
        </w:rPr>
        <w:t>（2025年）</w:t>
      </w:r>
    </w:p>
    <w:p w14:paraId="2BF676F0">
      <w:pPr>
        <w:adjustRightInd w:val="0"/>
        <w:snapToGrid w:val="0"/>
        <w:spacing w:line="460" w:lineRule="exact"/>
        <w:ind w:firstLine="640"/>
        <w:jc w:val="center"/>
        <w:rPr>
          <w:rFonts w:ascii="仿宋_GB2312" w:eastAsia="仿宋_GB2312"/>
          <w:bCs/>
          <w:snapToGrid w:val="0"/>
          <w:kern w:val="0"/>
          <w:sz w:val="32"/>
          <w:szCs w:val="32"/>
        </w:rPr>
      </w:pPr>
    </w:p>
    <w:p w14:paraId="7EFC4D05">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一、项目申请条件</w:t>
      </w:r>
    </w:p>
    <w:p w14:paraId="32E4EA1C">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（一）申报主体要求</w:t>
      </w:r>
    </w:p>
    <w:p w14:paraId="7C9AEDD9">
      <w:pPr>
        <w:adjustRightInd w:val="0"/>
        <w:snapToGrid w:val="0"/>
        <w:spacing w:line="560" w:lineRule="exact"/>
        <w:ind w:firstLine="640" w:firstLineChars="200"/>
        <w:rPr>
          <w:rFonts w:ascii="仿宋_GB2312" w:eastAsia="仿宋_GB2312"/>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北京行政区域内依法登记注册的具有独立法人资格的</w:t>
      </w:r>
      <w:r>
        <w:rPr>
          <w:rFonts w:hint="eastAsia" w:ascii="仿宋_GB2312" w:hAnsi="仿宋" w:eastAsia="仿宋_GB2312" w:cs="仿宋"/>
          <w:snapToGrid w:val="0"/>
          <w:kern w:val="0"/>
          <w:sz w:val="32"/>
          <w:szCs w:val="32"/>
        </w:rPr>
        <w:t>企事</w:t>
      </w:r>
      <w:r>
        <w:rPr>
          <w:rFonts w:ascii="仿宋_GB2312" w:hAnsi="仿宋" w:eastAsia="仿宋_GB2312" w:cs="仿宋"/>
          <w:snapToGrid w:val="0"/>
          <w:kern w:val="0"/>
          <w:sz w:val="32"/>
          <w:szCs w:val="32"/>
        </w:rPr>
        <w:t>业</w:t>
      </w:r>
      <w:r>
        <w:rPr>
          <w:rFonts w:hint="eastAsia" w:ascii="仿宋_GB2312" w:hAnsi="仿宋" w:eastAsia="仿宋_GB2312" w:cs="仿宋"/>
          <w:snapToGrid w:val="0"/>
          <w:kern w:val="0"/>
          <w:sz w:val="32"/>
          <w:szCs w:val="32"/>
        </w:rPr>
        <w:t>单位或</w:t>
      </w:r>
      <w:r>
        <w:rPr>
          <w:rFonts w:hint="eastAsia" w:ascii="仿宋_GB2312" w:eastAsia="仿宋_GB2312"/>
          <w:sz w:val="32"/>
          <w:szCs w:val="32"/>
        </w:rPr>
        <w:t>社会组织</w:t>
      </w:r>
      <w:r>
        <w:rPr>
          <w:rFonts w:ascii="仿宋_GB2312" w:eastAsia="仿宋_GB2312"/>
          <w:sz w:val="32"/>
          <w:szCs w:val="32"/>
        </w:rPr>
        <w:t>；</w:t>
      </w:r>
    </w:p>
    <w:p w14:paraId="7011151C">
      <w:pPr>
        <w:widowControl/>
        <w:adjustRightInd w:val="0"/>
        <w:snapToGrid w:val="0"/>
        <w:spacing w:line="560" w:lineRule="exact"/>
        <w:ind w:firstLine="640" w:firstLineChars="200"/>
        <w:rPr>
          <w:rFonts w:ascii="仿宋_GB2312" w:eastAsia="仿宋_GB2312"/>
          <w:bCs/>
          <w:sz w:val="32"/>
          <w:szCs w:val="32"/>
        </w:rPr>
      </w:pPr>
      <w:r>
        <w:rPr>
          <w:rFonts w:hint="eastAsia" w:ascii="仿宋_GB2312" w:hAnsi="仿宋" w:eastAsia="仿宋_GB2312" w:cs="仿宋"/>
          <w:snapToGrid w:val="0"/>
          <w:kern w:val="0"/>
          <w:sz w:val="32"/>
          <w:szCs w:val="32"/>
        </w:rPr>
        <w:t>2.</w:t>
      </w:r>
      <w:r>
        <w:rPr>
          <w:rFonts w:hint="eastAsia" w:ascii="仿宋_GB2312" w:eastAsia="仿宋_GB2312"/>
          <w:bCs/>
          <w:sz w:val="32"/>
          <w:szCs w:val="32"/>
        </w:rPr>
        <w:t>建立完善的知识产权管理制度，包括但不限于合规管理、风险防控等</w:t>
      </w:r>
      <w:r>
        <w:rPr>
          <w:rFonts w:ascii="仿宋_GB2312" w:eastAsia="仿宋_GB2312"/>
          <w:bCs/>
          <w:sz w:val="32"/>
          <w:szCs w:val="32"/>
        </w:rPr>
        <w:t>;</w:t>
      </w:r>
    </w:p>
    <w:p w14:paraId="5C14FB71">
      <w:pPr>
        <w:widowControl/>
        <w:adjustRightInd w:val="0"/>
        <w:snapToGrid w:val="0"/>
        <w:spacing w:line="560" w:lineRule="exact"/>
        <w:ind w:firstLine="640" w:firstLineChars="200"/>
        <w:rPr>
          <w:rFonts w:ascii="仿宋_GB2312" w:eastAsia="仿宋_GB2312"/>
          <w:bCs/>
          <w:sz w:val="32"/>
          <w:szCs w:val="32"/>
        </w:rPr>
      </w:pPr>
      <w:r>
        <w:rPr>
          <w:rFonts w:hint="eastAsia" w:ascii="仿宋_GB2312" w:hAnsi="仿宋" w:eastAsia="仿宋_GB2312" w:cs="仿宋"/>
          <w:snapToGrid w:val="0"/>
          <w:kern w:val="0"/>
          <w:sz w:val="32"/>
          <w:szCs w:val="32"/>
        </w:rPr>
        <w:t>3.</w:t>
      </w:r>
      <w:r>
        <w:rPr>
          <w:rFonts w:hint="eastAsia" w:ascii="仿宋_GB2312" w:eastAsia="仿宋_GB2312"/>
          <w:bCs/>
          <w:sz w:val="32"/>
          <w:szCs w:val="32"/>
        </w:rPr>
        <w:t>在纠纷发生地已具备处理该知识产权纠纷的权利基础；</w:t>
      </w:r>
    </w:p>
    <w:p w14:paraId="0EA1B064">
      <w:pPr>
        <w:widowControl/>
        <w:adjustRightInd w:val="0"/>
        <w:snapToGrid w:val="0"/>
        <w:spacing w:line="560" w:lineRule="exact"/>
        <w:ind w:firstLine="640" w:firstLineChars="200"/>
        <w:rPr>
          <w:rFonts w:ascii="仿宋_GB2312" w:eastAsia="仿宋_GB2312"/>
          <w:bCs/>
          <w:sz w:val="32"/>
          <w:szCs w:val="32"/>
        </w:rPr>
      </w:pPr>
      <w:r>
        <w:rPr>
          <w:rFonts w:hint="eastAsia" w:ascii="仿宋_GB2312" w:hAnsi="仿宋" w:eastAsia="仿宋_GB2312" w:cs="仿宋"/>
          <w:snapToGrid w:val="0"/>
          <w:kern w:val="0"/>
          <w:sz w:val="32"/>
          <w:szCs w:val="32"/>
        </w:rPr>
        <w:t>4</w:t>
      </w:r>
      <w:r>
        <w:rPr>
          <w:rFonts w:hint="eastAsia" w:ascii="仿宋_GB2312" w:eastAsia="仿宋_GB2312"/>
          <w:sz w:val="32"/>
          <w:szCs w:val="32"/>
        </w:rPr>
        <w:t>.</w:t>
      </w:r>
      <w:r>
        <w:rPr>
          <w:rFonts w:hint="eastAsia" w:ascii="仿宋_GB2312" w:eastAsia="仿宋_GB2312"/>
          <w:bCs/>
          <w:sz w:val="32"/>
          <w:szCs w:val="32"/>
        </w:rPr>
        <w:t>承诺将项目有关信息(商业秘密等除外)、维权经验、案例研究成果等向社会公开及供他人无偿使用；</w:t>
      </w:r>
    </w:p>
    <w:p w14:paraId="1CD8B283">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5.在申请日之前的3年内未被列入严重违法失信名单，并且不存在其他失信行为。</w:t>
      </w:r>
    </w:p>
    <w:p w14:paraId="065E2D4B">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（二）申请事项要求</w:t>
      </w:r>
    </w:p>
    <w:p w14:paraId="1CCE94C2">
      <w:pPr>
        <w:adjustRightInd w:val="0"/>
        <w:snapToGrid w:val="0"/>
        <w:spacing w:line="560" w:lineRule="exact"/>
        <w:ind w:firstLine="640" w:firstLineChars="200"/>
        <w:outlineLvl w:val="0"/>
        <w:rPr>
          <w:rFonts w:ascii="仿宋_GB2312" w:eastAsia="仿宋_GB2312"/>
          <w:sz w:val="32"/>
          <w:szCs w:val="32"/>
        </w:rPr>
      </w:pPr>
      <w:r>
        <w:rPr>
          <w:rFonts w:hint="eastAsia" w:ascii="仿宋_GB2312" w:eastAsia="仿宋_GB2312"/>
          <w:sz w:val="32"/>
          <w:szCs w:val="32"/>
        </w:rPr>
        <w:t>2025年北京市海外知识产权维权援助项目分为两类，其条件分别如下：</w:t>
      </w:r>
    </w:p>
    <w:p w14:paraId="22023F32">
      <w:pPr>
        <w:adjustRightInd w:val="0"/>
        <w:snapToGrid w:val="0"/>
        <w:spacing w:line="560" w:lineRule="exact"/>
        <w:ind w:firstLine="643" w:firstLineChars="200"/>
        <w:outlineLvl w:val="0"/>
        <w:rPr>
          <w:rFonts w:ascii="仿宋_GB2312" w:eastAsia="仿宋_GB2312"/>
          <w:b/>
          <w:sz w:val="32"/>
          <w:szCs w:val="32"/>
        </w:rPr>
      </w:pPr>
      <w:r>
        <w:rPr>
          <w:rFonts w:ascii="仿宋_GB2312" w:eastAsia="仿宋_GB2312"/>
          <w:b/>
          <w:sz w:val="32"/>
          <w:szCs w:val="32"/>
        </w:rPr>
        <w:t>1.</w:t>
      </w:r>
      <w:r>
        <w:rPr>
          <w:rFonts w:hint="eastAsia" w:ascii="仿宋_GB2312" w:eastAsia="仿宋_GB2312"/>
          <w:b/>
          <w:sz w:val="32"/>
          <w:szCs w:val="32"/>
        </w:rPr>
        <w:t>海外纠纷应对项目</w:t>
      </w:r>
    </w:p>
    <w:p w14:paraId="29ED1A35">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所申请项目涉及的海外知识产权纠纷或事项涉及的知识产权类型限于专利、商标、地理标志类；不包括专利有效性争议；不适用于美国337调查、贸易制裁等具有贸易政策属性的特殊程序；不适用已通过海外保险等第三方途径获得足额补偿的维权事项；</w:t>
      </w:r>
    </w:p>
    <w:p w14:paraId="7EB135DD">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（2）自</w:t>
      </w:r>
      <w:r>
        <w:rPr>
          <w:rFonts w:hint="eastAsia" w:ascii="仿宋_GB2312" w:eastAsia="仿宋_GB2312"/>
          <w:sz w:val="32"/>
          <w:szCs w:val="32"/>
        </w:rPr>
        <w:t>2022年</w:t>
      </w:r>
      <w:r>
        <w:rPr>
          <w:rFonts w:hint="eastAsia" w:ascii="仿宋_GB2312" w:eastAsia="仿宋_GB2312"/>
          <w:sz w:val="32"/>
          <w:szCs w:val="32"/>
        </w:rPr>
        <w:t>1月1日以后发生，且至本年度项目申报开始前，</w:t>
      </w:r>
      <w:r>
        <w:rPr>
          <w:rFonts w:ascii="仿宋_GB2312" w:eastAsia="仿宋_GB2312"/>
          <w:sz w:val="32"/>
          <w:szCs w:val="32"/>
        </w:rPr>
        <w:t>项目所涉及的海外知识产权纠纷</w:t>
      </w:r>
      <w:r>
        <w:rPr>
          <w:rFonts w:hint="eastAsia" w:ascii="仿宋_GB2312" w:eastAsia="仿宋_GB2312"/>
          <w:sz w:val="32"/>
          <w:szCs w:val="32"/>
        </w:rPr>
        <w:t>或</w:t>
      </w:r>
      <w:r>
        <w:rPr>
          <w:rFonts w:ascii="仿宋_GB2312" w:eastAsia="仿宋_GB2312"/>
          <w:sz w:val="32"/>
          <w:szCs w:val="32"/>
        </w:rPr>
        <w:t>事项</w:t>
      </w:r>
      <w:r>
        <w:rPr>
          <w:rFonts w:hint="eastAsia" w:ascii="仿宋_GB2312" w:eastAsia="仿宋_GB2312"/>
          <w:sz w:val="32"/>
          <w:szCs w:val="32"/>
        </w:rPr>
        <w:t>还未结束；</w:t>
      </w:r>
    </w:p>
    <w:p w14:paraId="107F917F">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（3）申请人已有明确的海外知识产权纠纷应对方案，对纠纷处理的后续结果做出判断并提供判断依据。</w:t>
      </w:r>
    </w:p>
    <w:p w14:paraId="6DA8584C">
      <w:pPr>
        <w:adjustRightInd w:val="0"/>
        <w:snapToGrid w:val="0"/>
        <w:spacing w:line="560" w:lineRule="exact"/>
        <w:ind w:firstLine="643" w:firstLineChars="200"/>
        <w:outlineLvl w:val="0"/>
        <w:rPr>
          <w:rFonts w:ascii="仿宋_GB2312" w:eastAsia="仿宋_GB2312"/>
          <w:b/>
          <w:sz w:val="32"/>
          <w:szCs w:val="32"/>
        </w:rPr>
      </w:pPr>
      <w:r>
        <w:rPr>
          <w:rFonts w:ascii="仿宋_GB2312" w:eastAsia="仿宋_GB2312"/>
          <w:b/>
          <w:sz w:val="32"/>
          <w:szCs w:val="32"/>
        </w:rPr>
        <w:t>2.</w:t>
      </w:r>
      <w:r>
        <w:rPr>
          <w:rFonts w:hint="eastAsia" w:ascii="仿宋_GB2312" w:eastAsia="仿宋_GB2312"/>
          <w:b/>
          <w:sz w:val="32"/>
          <w:szCs w:val="32"/>
        </w:rPr>
        <w:t>海外纠纷已结案项目</w:t>
      </w:r>
    </w:p>
    <w:p w14:paraId="360AC614">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所申请项目涉及的海外知识产权纠纷或事项涉及的知识产权类型限于专利、商标、地理标志类；不包括专利有效性争议；不适用于美国337调查、贸易制裁等具有贸易政策属性的特殊程序；不适用已通过海外保险等第三方途径获得足额补偿的维权事项；</w:t>
      </w:r>
    </w:p>
    <w:p w14:paraId="2B6FC747">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w:t>
      </w:r>
      <w:r>
        <w:rPr>
          <w:rFonts w:ascii="仿宋_GB2312" w:eastAsia="仿宋_GB2312"/>
          <w:sz w:val="32"/>
          <w:szCs w:val="32"/>
        </w:rPr>
        <w:t>项目所涉及的海外知识产权纠纷</w:t>
      </w:r>
      <w:r>
        <w:rPr>
          <w:rFonts w:hint="eastAsia" w:ascii="仿宋_GB2312" w:eastAsia="仿宋_GB2312"/>
          <w:sz w:val="32"/>
          <w:szCs w:val="32"/>
        </w:rPr>
        <w:t>或</w:t>
      </w:r>
      <w:r>
        <w:rPr>
          <w:rFonts w:ascii="仿宋_GB2312" w:eastAsia="仿宋_GB2312"/>
          <w:sz w:val="32"/>
          <w:szCs w:val="32"/>
        </w:rPr>
        <w:t>事项</w:t>
      </w:r>
      <w:bookmarkStart w:id="0" w:name="OLE_LINK7"/>
      <w:bookmarkStart w:id="1" w:name="OLE_LINK8"/>
      <w:r>
        <w:rPr>
          <w:rFonts w:hint="eastAsia" w:ascii="仿宋_GB2312" w:eastAsia="仿宋_GB2312"/>
          <w:sz w:val="32"/>
          <w:szCs w:val="32"/>
        </w:rPr>
        <w:t>应于2022年1月1日至本年度项目申报结束日内处理完毕；</w:t>
      </w:r>
    </w:p>
    <w:p w14:paraId="522B537B">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w:t>
      </w:r>
      <w:r>
        <w:rPr>
          <w:rFonts w:ascii="仿宋_GB2312" w:eastAsia="仿宋_GB2312"/>
          <w:sz w:val="32"/>
          <w:szCs w:val="32"/>
        </w:rPr>
        <w:t>海外知识产权纠纷</w:t>
      </w:r>
      <w:r>
        <w:rPr>
          <w:rFonts w:hint="eastAsia" w:ascii="仿宋_GB2312" w:eastAsia="仿宋_GB2312"/>
          <w:sz w:val="32"/>
          <w:szCs w:val="32"/>
        </w:rPr>
        <w:t>或</w:t>
      </w:r>
      <w:r>
        <w:rPr>
          <w:rFonts w:ascii="仿宋_GB2312" w:eastAsia="仿宋_GB2312"/>
          <w:sz w:val="32"/>
          <w:szCs w:val="32"/>
        </w:rPr>
        <w:t>事项</w:t>
      </w:r>
      <w:r>
        <w:rPr>
          <w:rFonts w:hint="eastAsia" w:ascii="仿宋_GB2312" w:eastAsia="仿宋_GB2312"/>
          <w:sz w:val="32"/>
          <w:szCs w:val="32"/>
        </w:rPr>
        <w:t>已取得有利结果</w:t>
      </w:r>
      <w:bookmarkEnd w:id="0"/>
      <w:bookmarkEnd w:id="1"/>
      <w:r>
        <w:rPr>
          <w:rFonts w:hint="eastAsia" w:ascii="仿宋_GB2312" w:eastAsia="仿宋_GB2312"/>
          <w:sz w:val="32"/>
          <w:szCs w:val="32"/>
        </w:rPr>
        <w:t>，并能够提供</w:t>
      </w:r>
      <w:r>
        <w:rPr>
          <w:rFonts w:hint="eastAsia" w:ascii="仿宋_GB2312" w:eastAsia="仿宋_GB2312"/>
          <w:bCs/>
          <w:sz w:val="32"/>
          <w:szCs w:val="32"/>
        </w:rPr>
        <w:t>已发生法律效力的纠纷处理结果证明，如</w:t>
      </w:r>
      <w:r>
        <w:rPr>
          <w:rFonts w:hint="eastAsia" w:ascii="仿宋_GB2312" w:eastAsia="仿宋_GB2312"/>
          <w:sz w:val="32"/>
          <w:szCs w:val="32"/>
        </w:rPr>
        <w:t>司法判决、行政裁决、仲裁裁决、调解或和解协议等。</w:t>
      </w:r>
    </w:p>
    <w:p w14:paraId="3DE49FBE">
      <w:pPr>
        <w:adjustRightInd w:val="0"/>
        <w:snapToGrid w:val="0"/>
        <w:spacing w:line="560" w:lineRule="exact"/>
        <w:ind w:firstLine="640" w:firstLineChars="200"/>
        <w:rPr>
          <w:rFonts w:ascii="黑体" w:hAnsi="黑体" w:eastAsia="黑体"/>
          <w:sz w:val="32"/>
          <w:szCs w:val="32"/>
        </w:rPr>
      </w:pPr>
      <w:r>
        <w:rPr>
          <w:rFonts w:hint="eastAsia" w:ascii="黑体" w:hAnsi="黑体" w:eastAsia="黑体"/>
          <w:sz w:val="32"/>
          <w:szCs w:val="32"/>
        </w:rPr>
        <w:t>二、申请资金测算标准</w:t>
      </w:r>
    </w:p>
    <w:p w14:paraId="4B6CD6C5">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不同类型海外知识产权维权援助项目依据不同标准测算，其中：</w:t>
      </w:r>
    </w:p>
    <w:p w14:paraId="13565AB3">
      <w:pPr>
        <w:adjustRightInd w:val="0"/>
        <w:snapToGrid w:val="0"/>
        <w:spacing w:line="560" w:lineRule="exact"/>
        <w:ind w:firstLine="643" w:firstLineChars="200"/>
        <w:outlineLvl w:val="0"/>
        <w:rPr>
          <w:rFonts w:ascii="仿宋_GB2312" w:eastAsia="仿宋_GB2312"/>
          <w:b/>
          <w:sz w:val="32"/>
          <w:szCs w:val="32"/>
        </w:rPr>
      </w:pPr>
      <w:r>
        <w:rPr>
          <w:rFonts w:hint="eastAsia" w:ascii="仿宋_GB2312" w:eastAsia="仿宋_GB2312"/>
          <w:b/>
          <w:sz w:val="32"/>
          <w:szCs w:val="32"/>
        </w:rPr>
        <w:t>1.海外纠纷应对项目</w:t>
      </w:r>
    </w:p>
    <w:p w14:paraId="327F618E">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（1）每件纠纷的援助金额不超过项目申请人申报金额，并且不超过项目申请人预估应对该海外纠纷成本的30%；</w:t>
      </w:r>
    </w:p>
    <w:p w14:paraId="20853F22">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（2）专利类纠纷，在美国和欧洲地区不超过30万元，在其他国家（地区）不超过20万元；商标及地理标志类纠纷，在美国和欧洲地区不超过8万元，其他国家（地区）不超过5万元；</w:t>
      </w:r>
    </w:p>
    <w:p w14:paraId="6597DE5D">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（3）该类项目援助资金总量不超过150万元。</w:t>
      </w:r>
    </w:p>
    <w:p w14:paraId="3FA7C05B">
      <w:pPr>
        <w:adjustRightInd w:val="0"/>
        <w:snapToGrid w:val="0"/>
        <w:spacing w:line="560" w:lineRule="exact"/>
        <w:ind w:firstLine="643" w:firstLineChars="200"/>
        <w:outlineLvl w:val="0"/>
        <w:rPr>
          <w:rFonts w:ascii="仿宋_GB2312" w:eastAsia="仿宋_GB2312"/>
          <w:b/>
          <w:sz w:val="32"/>
          <w:szCs w:val="32"/>
        </w:rPr>
      </w:pPr>
      <w:r>
        <w:rPr>
          <w:rFonts w:hint="eastAsia" w:ascii="仿宋_GB2312" w:eastAsia="仿宋_GB2312"/>
          <w:b/>
          <w:sz w:val="32"/>
          <w:szCs w:val="32"/>
        </w:rPr>
        <w:t>2.海外纠纷已结案项目</w:t>
      </w:r>
    </w:p>
    <w:p w14:paraId="00C6DFBA">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（1）每件纠纷的援助金额不超过项目申请人申报金额，并且不超过项目申请人应对该海外纠纷应对成本的50%；</w:t>
      </w:r>
    </w:p>
    <w:p w14:paraId="3D665AED">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（2）专利类纠纷，在美国和欧洲地区不超过60万元，在其他国家（地区）不超过40万元；商标及地理标志类纠纷，在美国和欧洲地区不超过12万元，在其他国家（地区）不超过7万元；</w:t>
      </w:r>
    </w:p>
    <w:p w14:paraId="4BFBD35F">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（3）该类项目援助资金总量不超过200万元。</w:t>
      </w:r>
    </w:p>
    <w:p w14:paraId="0879BD7A">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以上两类项目援助申请金额，需要认真填写项目申报书中的申报金额和成本金额，并对于北京市海外知识产权保险等项目财政资金已涵盖的部分，主动在计算纠纷应对成本时予以扣除。</w:t>
      </w:r>
    </w:p>
    <w:p w14:paraId="183CE235">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最终援助金额将综合当年财政经费批复情况和各企事业单位申报情况，进行综合测算，详见本申报指南“三、申报及评审流程-（五）援助金额的确定”部分的有关规定。</w:t>
      </w:r>
    </w:p>
    <w:p w14:paraId="2D1DA3B9">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cs="仿宋"/>
          <w:bCs/>
          <w:snapToGrid w:val="0"/>
          <w:kern w:val="0"/>
          <w:sz w:val="32"/>
          <w:szCs w:val="32"/>
        </w:rPr>
        <w:t>三</w:t>
      </w:r>
      <w:r>
        <w:rPr>
          <w:rFonts w:hint="eastAsia" w:ascii="黑体" w:hAnsi="黑体" w:eastAsia="黑体"/>
          <w:bCs/>
          <w:snapToGrid w:val="0"/>
          <w:kern w:val="0"/>
          <w:sz w:val="32"/>
          <w:szCs w:val="32"/>
        </w:rPr>
        <w:t>、申报及评审流程</w:t>
      </w:r>
    </w:p>
    <w:p w14:paraId="46AB0088">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（一）项目申报</w:t>
      </w:r>
    </w:p>
    <w:p w14:paraId="30DAC0DB">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申请人可以根据实际情况，选择一类或两类项目进行申报。</w:t>
      </w:r>
    </w:p>
    <w:p w14:paraId="41DE89C9">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同一案件只能申报一次同一类型的海外知识产权维权援助项目；在不同年份申请不同类型海外知识产权维权援助项目时，已援助经费在计算应对成本时进行扣除。</w:t>
      </w:r>
    </w:p>
    <w:p w14:paraId="16672593">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同一申请人每年援助金额最高不超过</w:t>
      </w:r>
      <w:r>
        <w:rPr>
          <w:rFonts w:ascii="仿宋_GB2312" w:eastAsia="仿宋_GB2312"/>
          <w:sz w:val="32"/>
          <w:szCs w:val="32"/>
        </w:rPr>
        <w:t>100</w:t>
      </w:r>
      <w:r>
        <w:rPr>
          <w:rFonts w:hint="eastAsia" w:ascii="仿宋_GB2312" w:eastAsia="仿宋_GB2312"/>
          <w:sz w:val="32"/>
          <w:szCs w:val="32"/>
        </w:rPr>
        <w:t>万元。</w:t>
      </w:r>
    </w:p>
    <w:p w14:paraId="7B2AEBEA">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（二）区级初审</w:t>
      </w:r>
    </w:p>
    <w:p w14:paraId="71EDFE6B">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区知识产权管理部门对申报的项目进行初审，审核要点包括：</w:t>
      </w:r>
    </w:p>
    <w:p w14:paraId="485C3A8B">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1.项目申请人是否为</w:t>
      </w:r>
      <w:r>
        <w:rPr>
          <w:rFonts w:hint="eastAsia" w:ascii="仿宋_GB2312" w:eastAsia="仿宋_GB2312"/>
          <w:b/>
          <w:sz w:val="32"/>
          <w:szCs w:val="32"/>
        </w:rPr>
        <w:t>辖区内的</w:t>
      </w:r>
      <w:r>
        <w:rPr>
          <w:rFonts w:hint="eastAsia" w:ascii="仿宋_GB2312" w:hAnsi="仿宋" w:eastAsia="仿宋_GB2312" w:cs="仿宋"/>
          <w:b/>
          <w:snapToGrid w:val="0"/>
          <w:kern w:val="0"/>
          <w:sz w:val="32"/>
          <w:szCs w:val="32"/>
        </w:rPr>
        <w:t>企事</w:t>
      </w:r>
      <w:r>
        <w:rPr>
          <w:rFonts w:ascii="仿宋_GB2312" w:hAnsi="仿宋" w:eastAsia="仿宋_GB2312" w:cs="仿宋"/>
          <w:b/>
          <w:snapToGrid w:val="0"/>
          <w:kern w:val="0"/>
          <w:sz w:val="32"/>
          <w:szCs w:val="32"/>
        </w:rPr>
        <w:t>业</w:t>
      </w:r>
      <w:r>
        <w:rPr>
          <w:rFonts w:hint="eastAsia" w:ascii="仿宋_GB2312" w:hAnsi="仿宋" w:eastAsia="仿宋_GB2312" w:cs="仿宋"/>
          <w:b/>
          <w:snapToGrid w:val="0"/>
          <w:kern w:val="0"/>
          <w:sz w:val="32"/>
          <w:szCs w:val="32"/>
        </w:rPr>
        <w:t>单位或社会组织</w:t>
      </w:r>
      <w:r>
        <w:rPr>
          <w:rFonts w:hint="eastAsia" w:ascii="仿宋_GB2312" w:eastAsia="仿宋_GB2312"/>
          <w:sz w:val="32"/>
          <w:szCs w:val="32"/>
        </w:rPr>
        <w:t>；</w:t>
      </w:r>
    </w:p>
    <w:p w14:paraId="3FFA34FA">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2.申报材料是否</w:t>
      </w:r>
      <w:r>
        <w:rPr>
          <w:rFonts w:hint="eastAsia" w:ascii="仿宋_GB2312" w:eastAsia="仿宋_GB2312"/>
          <w:b/>
          <w:sz w:val="32"/>
          <w:szCs w:val="32"/>
        </w:rPr>
        <w:t>齐全</w:t>
      </w:r>
      <w:r>
        <w:rPr>
          <w:rFonts w:hint="eastAsia" w:ascii="仿宋_GB2312" w:eastAsia="仿宋_GB2312"/>
          <w:sz w:val="32"/>
          <w:szCs w:val="32"/>
        </w:rPr>
        <w:t>并按要求</w:t>
      </w:r>
      <w:r>
        <w:rPr>
          <w:rFonts w:hint="eastAsia" w:ascii="仿宋_GB2312" w:eastAsia="仿宋_GB2312"/>
          <w:b/>
          <w:sz w:val="32"/>
          <w:szCs w:val="32"/>
        </w:rPr>
        <w:t>加盖公章</w:t>
      </w:r>
      <w:r>
        <w:rPr>
          <w:rFonts w:hint="eastAsia" w:ascii="仿宋_GB2312" w:eastAsia="仿宋_GB2312"/>
          <w:sz w:val="32"/>
          <w:szCs w:val="32"/>
        </w:rPr>
        <w:t>；</w:t>
      </w:r>
    </w:p>
    <w:p w14:paraId="0E9E7F6F">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3.项目申请人信用情况；</w:t>
      </w:r>
    </w:p>
    <w:p w14:paraId="729F32A0">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4.项目申请人及涉案纠纷对区域或产业经济的贡献度等。</w:t>
      </w:r>
    </w:p>
    <w:p w14:paraId="6F78F10D">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（三）市级审核</w:t>
      </w:r>
    </w:p>
    <w:p w14:paraId="5449D47C">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北京市知识产权公共服务中心对各区知识产权管理部门的初审情况进行审核、确认项目申请条件是否符合，确定进入海外知识产权维权援助评审会的项目。</w:t>
      </w:r>
    </w:p>
    <w:p w14:paraId="4D9E4B53">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（四）项目评审</w:t>
      </w:r>
    </w:p>
    <w:p w14:paraId="03C6C466">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北京市知识产权公共服务中心组织召开评审会，进行质询答辩。</w:t>
      </w:r>
    </w:p>
    <w:p w14:paraId="438634FA">
      <w:pPr>
        <w:adjustRightInd w:val="0"/>
        <w:snapToGrid w:val="0"/>
        <w:spacing w:line="560" w:lineRule="exact"/>
        <w:ind w:firstLine="640" w:firstLineChars="200"/>
        <w:outlineLvl w:val="0"/>
        <w:rPr>
          <w:rFonts w:ascii="仿宋_GB2312" w:eastAsia="仿宋_GB2312"/>
          <w:sz w:val="32"/>
          <w:szCs w:val="32"/>
        </w:rPr>
      </w:pPr>
      <w:r>
        <w:rPr>
          <w:rFonts w:hint="eastAsia" w:ascii="仿宋_GB2312" w:eastAsia="仿宋_GB2312"/>
          <w:sz w:val="32"/>
          <w:szCs w:val="32"/>
          <w:highlight w:val="none"/>
        </w:rPr>
        <w:t>其中，</w:t>
      </w:r>
      <w:r>
        <w:rPr>
          <w:rFonts w:hint="eastAsia" w:ascii="仿宋_GB2312" w:eastAsia="仿宋_GB2312"/>
          <w:b/>
          <w:sz w:val="32"/>
          <w:szCs w:val="32"/>
          <w:highlight w:val="none"/>
        </w:rPr>
        <w:t>海外纠纷应对项目</w:t>
      </w:r>
      <w:r>
        <w:rPr>
          <w:rFonts w:hint="eastAsia" w:ascii="仿宋_GB2312" w:eastAsia="仿宋_GB2312"/>
          <w:sz w:val="32"/>
          <w:szCs w:val="32"/>
          <w:highlight w:val="none"/>
        </w:rPr>
        <w:t>主要从项目必要性、项目实施方案、项目预期效果、项目保障条件等维度进行评审；</w:t>
      </w:r>
      <w:r>
        <w:rPr>
          <w:rFonts w:hint="eastAsia" w:ascii="仿宋_GB2312" w:eastAsia="仿宋_GB2312"/>
          <w:b/>
          <w:sz w:val="32"/>
          <w:szCs w:val="32"/>
          <w:highlight w:val="none"/>
        </w:rPr>
        <w:t>海外纠纷已结案项目</w:t>
      </w:r>
      <w:r>
        <w:rPr>
          <w:rFonts w:hint="eastAsia" w:ascii="仿宋_GB2312" w:eastAsia="仿宋_GB2312"/>
          <w:sz w:val="32"/>
          <w:szCs w:val="32"/>
          <w:highlight w:val="none"/>
        </w:rPr>
        <w:t>主要从项目典型性、是否符合取得有利结果的条件、项目所形成的公共服务成果等维度进行评审。</w:t>
      </w:r>
    </w:p>
    <w:p w14:paraId="338F118E">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（五）援助金额的确定</w:t>
      </w:r>
    </w:p>
    <w:p w14:paraId="6B852CFE">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1.援助金额测算原则</w:t>
      </w:r>
    </w:p>
    <w:p w14:paraId="6140EA74">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确定每个项目的援助金额时，如果当年确定给予援助的项目申报总金额低于当年本项目市财政预算批复金额，以实际申报金额为标准给予援助；如果当年确定给予援助的项目申报总金额高于当年本项目市财政预算批复金额的，优先足额保障符合以下规定的项目，剩余金额按照同一比例予以援助。</w:t>
      </w:r>
    </w:p>
    <w:p w14:paraId="2CE1CF77">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（1）申请人属于中小企业；</w:t>
      </w:r>
    </w:p>
    <w:p w14:paraId="78F2CA7F">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海外知识产权纠纷或事项属于重大或疑难纠纷的，其中“重大或疑难”主要包括以下情形：影响本市产业发展、主体复杂或集体应诉、涉案金额特别巨大（超过500万元人民币）、波及范围较广、涉及适用国际条约争议等的纠纷；</w:t>
      </w:r>
    </w:p>
    <w:p w14:paraId="70764946">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（3）海外知识产权纠纷或事项涉及的领域属于北京国际科技创新中心建设、全国文化中心建设以及“两区”建设的重点项目范围；</w:t>
      </w:r>
    </w:p>
    <w:p w14:paraId="50FC07FB">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（4）申请人属于国家知识产权示范和优势企业、北京市知识产权试点优势单位。</w:t>
      </w:r>
    </w:p>
    <w:p w14:paraId="0D9CA472">
      <w:pPr>
        <w:widowControl/>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2.同一年度援助最高金额</w:t>
      </w:r>
    </w:p>
    <w:p w14:paraId="0106411D">
      <w:pPr>
        <w:adjustRightInd w:val="0"/>
        <w:snapToGrid w:val="0"/>
        <w:spacing w:line="560" w:lineRule="exact"/>
        <w:ind w:firstLine="640" w:firstLineChars="200"/>
        <w:outlineLvl w:val="0"/>
        <w:rPr>
          <w:rFonts w:ascii="仿宋_GB2312" w:eastAsia="仿宋_GB2312"/>
          <w:sz w:val="32"/>
          <w:szCs w:val="32"/>
        </w:rPr>
      </w:pPr>
      <w:r>
        <w:rPr>
          <w:rFonts w:hint="eastAsia" w:ascii="仿宋_GB2312" w:eastAsia="仿宋_GB2312"/>
          <w:sz w:val="32"/>
          <w:szCs w:val="32"/>
        </w:rPr>
        <w:t>同一年度内，同一申请人就不同知识产权纠纷申报同一类型项目的，如均符合援助条件，按照从高不重复的原则予以支持；同时申报不同类型项目且均符合援助条件的，获得本项目援助金额最高不超过</w:t>
      </w:r>
      <w:r>
        <w:rPr>
          <w:rFonts w:ascii="仿宋_GB2312" w:eastAsia="仿宋_GB2312"/>
          <w:sz w:val="32"/>
          <w:szCs w:val="32"/>
        </w:rPr>
        <w:t>100</w:t>
      </w:r>
      <w:r>
        <w:rPr>
          <w:rFonts w:hint="eastAsia" w:ascii="仿宋_GB2312" w:eastAsia="仿宋_GB2312"/>
          <w:sz w:val="32"/>
          <w:szCs w:val="32"/>
        </w:rPr>
        <w:t>万元。</w:t>
      </w:r>
    </w:p>
    <w:p w14:paraId="74E63E0D">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（六）结果公示</w:t>
      </w:r>
    </w:p>
    <w:p w14:paraId="29DF123E">
      <w:pPr>
        <w:widowControl/>
        <w:adjustRightInd w:val="0"/>
        <w:snapToGrid w:val="0"/>
        <w:spacing w:line="560" w:lineRule="exact"/>
        <w:ind w:firstLine="640" w:firstLineChars="200"/>
        <w:rPr>
          <w:rFonts w:asciiTheme="minorEastAsia" w:hAnsiTheme="minorEastAsia"/>
          <w:szCs w:val="21"/>
        </w:rPr>
      </w:pPr>
      <w:r>
        <w:rPr>
          <w:rFonts w:hint="eastAsia" w:ascii="仿宋_GB2312" w:eastAsia="仿宋_GB2312"/>
          <w:sz w:val="32"/>
          <w:szCs w:val="32"/>
        </w:rPr>
        <w:t>2025年海外知识产权维权援助项目的评审结果在市知识产权局网站公示5个工作日。公示期无异议的，确定给予援助。</w:t>
      </w:r>
    </w:p>
    <w:p w14:paraId="48AFBF4E">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如申报日至公示期满之日发现企事业单位、社会组织存在被列严重失信主体名单的，取消援助资格。</w:t>
      </w:r>
    </w:p>
    <w:p w14:paraId="605F60C3">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（七）资金支付</w:t>
      </w:r>
    </w:p>
    <w:p w14:paraId="554CBF5B">
      <w:pPr>
        <w:adjustRightInd w:val="0"/>
        <w:snapToGrid w:val="0"/>
        <w:spacing w:line="560" w:lineRule="exact"/>
        <w:ind w:firstLine="643" w:firstLineChars="200"/>
        <w:outlineLvl w:val="0"/>
        <w:rPr>
          <w:rFonts w:ascii="仿宋_GB2312" w:eastAsia="仿宋_GB2312"/>
          <w:sz w:val="32"/>
          <w:szCs w:val="32"/>
        </w:rPr>
      </w:pPr>
      <w:r>
        <w:rPr>
          <w:rFonts w:hint="eastAsia" w:ascii="仿宋_GB2312" w:eastAsia="仿宋_GB2312"/>
          <w:b/>
          <w:sz w:val="32"/>
          <w:szCs w:val="32"/>
        </w:rPr>
        <w:t>海外纠纷应对项目</w:t>
      </w:r>
      <w:r>
        <w:rPr>
          <w:rFonts w:hint="eastAsia" w:ascii="仿宋_GB2312" w:eastAsia="仿宋_GB2312"/>
          <w:sz w:val="32"/>
          <w:szCs w:val="32"/>
        </w:rPr>
        <w:t>经审核、评审、公示后签订合同，由申请人按照评审意见，完善合同中约定的相关成果材料后，一次性支付援助资金；</w:t>
      </w:r>
    </w:p>
    <w:p w14:paraId="5DE6D079">
      <w:pPr>
        <w:adjustRightInd w:val="0"/>
        <w:snapToGrid w:val="0"/>
        <w:spacing w:line="560" w:lineRule="exact"/>
        <w:ind w:firstLine="643" w:firstLineChars="200"/>
        <w:outlineLvl w:val="0"/>
        <w:rPr>
          <w:rFonts w:ascii="楷体_GB2312" w:hAnsi="仿宋" w:eastAsia="楷体_GB2312" w:cs="仿宋"/>
          <w:bCs/>
          <w:snapToGrid w:val="0"/>
          <w:color w:val="FF0000"/>
          <w:kern w:val="0"/>
          <w:sz w:val="32"/>
          <w:szCs w:val="32"/>
        </w:rPr>
      </w:pPr>
      <w:r>
        <w:rPr>
          <w:rFonts w:hint="eastAsia" w:ascii="仿宋_GB2312" w:eastAsia="仿宋_GB2312"/>
          <w:b/>
          <w:sz w:val="32"/>
          <w:szCs w:val="32"/>
        </w:rPr>
        <w:t>海外纠纷已结案项目</w:t>
      </w:r>
      <w:r>
        <w:rPr>
          <w:rFonts w:hint="eastAsia" w:ascii="仿宋_GB2312" w:eastAsia="仿宋_GB2312"/>
          <w:sz w:val="32"/>
          <w:szCs w:val="32"/>
        </w:rPr>
        <w:t>经审核、评审、公示</w:t>
      </w:r>
      <w:bookmarkStart w:id="4" w:name="_GoBack"/>
      <w:bookmarkEnd w:id="4"/>
      <w:r>
        <w:rPr>
          <w:rFonts w:hint="eastAsia" w:ascii="仿宋_GB2312" w:eastAsia="仿宋_GB2312"/>
          <w:sz w:val="32"/>
          <w:szCs w:val="32"/>
        </w:rPr>
        <w:t>后签订合同，由申请人按照评审意见，完善合同中约定的相关成果材料后，一次性支付援助资金。</w:t>
      </w:r>
    </w:p>
    <w:p w14:paraId="407FEBA2">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四、申报材料、装订要求及主要指标说明</w:t>
      </w:r>
    </w:p>
    <w:p w14:paraId="5E03227F">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（一）企事业单位或社会组织需提交以下申请材料</w:t>
      </w:r>
    </w:p>
    <w:p w14:paraId="72EF01E2">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w:t>
      </w:r>
      <w:r>
        <w:rPr>
          <w:rFonts w:hint="eastAsia" w:ascii="仿宋_GB2312" w:hAnsi="仿宋" w:eastAsia="仿宋_GB2312" w:cs="仿宋"/>
          <w:snapToGrid w:val="0"/>
          <w:kern w:val="0"/>
          <w:sz w:val="32"/>
          <w:szCs w:val="32"/>
        </w:rPr>
        <w:t>北京市海外知识产权维权援助项目</w:t>
      </w:r>
      <w:r>
        <w:rPr>
          <w:rFonts w:ascii="仿宋_GB2312" w:hAnsi="仿宋" w:eastAsia="仿宋_GB2312" w:cs="仿宋"/>
          <w:snapToGrid w:val="0"/>
          <w:kern w:val="0"/>
          <w:sz w:val="32"/>
          <w:szCs w:val="32"/>
        </w:rPr>
        <w:t>申报书》并加盖公章</w:t>
      </w:r>
      <w:r>
        <w:rPr>
          <w:rFonts w:hint="eastAsia" w:ascii="仿宋_GB2312" w:hAnsi="仿宋" w:eastAsia="仿宋_GB2312" w:cs="仿宋"/>
          <w:snapToGrid w:val="0"/>
          <w:kern w:val="0"/>
          <w:sz w:val="32"/>
          <w:szCs w:val="32"/>
        </w:rPr>
        <w:t>。</w:t>
      </w:r>
    </w:p>
    <w:p w14:paraId="34FD14AA">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2.附件中需载明用于说明知识产权纠纷</w:t>
      </w:r>
      <w:r>
        <w:rPr>
          <w:rFonts w:hint="eastAsia" w:ascii="仿宋_GB2312" w:eastAsia="仿宋_GB2312"/>
          <w:sz w:val="32"/>
          <w:szCs w:val="32"/>
        </w:rPr>
        <w:t>和</w:t>
      </w:r>
      <w:r>
        <w:rPr>
          <w:rFonts w:hint="eastAsia" w:ascii="仿宋_GB2312" w:hAnsi="仿宋" w:eastAsia="仿宋_GB2312" w:cs="仿宋"/>
          <w:snapToGrid w:val="0"/>
          <w:kern w:val="0"/>
          <w:sz w:val="32"/>
          <w:szCs w:val="32"/>
        </w:rPr>
        <w:t>事项进展情况的材料，其中：</w:t>
      </w:r>
    </w:p>
    <w:p w14:paraId="4BDA03C3">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海外纠纷应对项目包括用于说明知识产权纠纷</w:t>
      </w:r>
      <w:r>
        <w:rPr>
          <w:rFonts w:hint="eastAsia" w:ascii="仿宋_GB2312" w:eastAsia="仿宋_GB2312"/>
          <w:sz w:val="32"/>
          <w:szCs w:val="32"/>
        </w:rPr>
        <w:t>等</w:t>
      </w:r>
      <w:r>
        <w:rPr>
          <w:rFonts w:hint="eastAsia" w:ascii="仿宋_GB2312" w:hAnsi="仿宋" w:eastAsia="仿宋_GB2312" w:cs="仿宋"/>
          <w:snapToGrid w:val="0"/>
          <w:kern w:val="0"/>
          <w:sz w:val="32"/>
          <w:szCs w:val="32"/>
        </w:rPr>
        <w:t>重大事项发生的材料</w:t>
      </w:r>
      <w:r>
        <w:rPr>
          <w:rFonts w:ascii="仿宋_GB2312" w:hAnsi="仿宋" w:eastAsia="仿宋_GB2312" w:cs="仿宋"/>
          <w:snapToGrid w:val="0"/>
          <w:kern w:val="0"/>
          <w:sz w:val="32"/>
          <w:szCs w:val="32"/>
        </w:rPr>
        <w:t>:如侵权警告函、律师函、起诉状、禁令的复印件并加盖公章</w:t>
      </w:r>
      <w:r>
        <w:rPr>
          <w:rFonts w:hint="eastAsia" w:ascii="仿宋_GB2312" w:hAnsi="仿宋" w:eastAsia="仿宋_GB2312" w:cs="仿宋"/>
          <w:snapToGrid w:val="0"/>
          <w:kern w:val="0"/>
          <w:sz w:val="32"/>
          <w:szCs w:val="32"/>
        </w:rPr>
        <w:t>；</w:t>
      </w:r>
    </w:p>
    <w:p w14:paraId="4F625608">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海外纠纷已结案项目包括已处理完毕且取得有利结果的材料</w:t>
      </w:r>
      <w:r>
        <w:rPr>
          <w:rFonts w:ascii="仿宋_GB2312" w:hAnsi="仿宋" w:eastAsia="仿宋_GB2312" w:cs="仿宋"/>
          <w:snapToGrid w:val="0"/>
          <w:kern w:val="0"/>
          <w:sz w:val="32"/>
          <w:szCs w:val="32"/>
        </w:rPr>
        <w:t>:如</w:t>
      </w:r>
      <w:r>
        <w:rPr>
          <w:rFonts w:hint="eastAsia" w:ascii="仿宋_GB2312" w:eastAsia="仿宋_GB2312"/>
          <w:sz w:val="32"/>
          <w:szCs w:val="32"/>
        </w:rPr>
        <w:t>司法判决、行政裁决、仲裁裁决、和解协议等</w:t>
      </w:r>
      <w:r>
        <w:rPr>
          <w:rFonts w:hint="eastAsia" w:ascii="仿宋_GB2312" w:hAnsi="仿宋" w:eastAsia="仿宋_GB2312" w:cs="仿宋"/>
          <w:snapToGrid w:val="0"/>
          <w:kern w:val="0"/>
          <w:sz w:val="32"/>
          <w:szCs w:val="32"/>
        </w:rPr>
        <w:t>的复印件</w:t>
      </w:r>
      <w:r>
        <w:rPr>
          <w:rFonts w:ascii="仿宋_GB2312" w:hAnsi="仿宋" w:eastAsia="仿宋_GB2312" w:cs="仿宋"/>
          <w:snapToGrid w:val="0"/>
          <w:kern w:val="0"/>
          <w:sz w:val="32"/>
          <w:szCs w:val="32"/>
        </w:rPr>
        <w:t>并加盖公章</w:t>
      </w:r>
      <w:r>
        <w:rPr>
          <w:rFonts w:hint="eastAsia" w:ascii="仿宋_GB2312" w:hAnsi="仿宋" w:eastAsia="仿宋_GB2312" w:cs="仿宋"/>
          <w:snapToGrid w:val="0"/>
          <w:kern w:val="0"/>
          <w:sz w:val="32"/>
          <w:szCs w:val="32"/>
        </w:rPr>
        <w:t>。</w:t>
      </w:r>
    </w:p>
    <w:p w14:paraId="5D7EE66C">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3.附件中需载明纠纷应对的资金支出成本材料，包括资金明细表及财务凭证。</w:t>
      </w:r>
    </w:p>
    <w:p w14:paraId="2279E81B">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（二）装订要求</w:t>
      </w:r>
    </w:p>
    <w:p w14:paraId="50A52F74">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1.申报材料应当按照规定格式和内容要求填写，各栏目不得空缺，无内容时填“无”；如篇幅所限，可按原格式自行添加页数。</w:t>
      </w:r>
    </w:p>
    <w:p w14:paraId="6558B403">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2.申报材料（包括申报书及附件）中使</w:t>
      </w:r>
      <w:r>
        <w:rPr>
          <w:rFonts w:ascii="仿宋_GB2312" w:hAnsi="仿宋" w:eastAsia="仿宋_GB2312" w:cs="仿宋"/>
          <w:snapToGrid w:val="0"/>
          <w:kern w:val="0"/>
          <w:sz w:val="32"/>
          <w:szCs w:val="32"/>
        </w:rPr>
        <w:t>用外文书写</w:t>
      </w:r>
      <w:r>
        <w:rPr>
          <w:rFonts w:hint="eastAsia" w:ascii="仿宋_GB2312" w:hAnsi="仿宋" w:eastAsia="仿宋_GB2312" w:cs="仿宋"/>
          <w:snapToGrid w:val="0"/>
          <w:kern w:val="0"/>
          <w:sz w:val="32"/>
          <w:szCs w:val="32"/>
        </w:rPr>
        <w:t>的</w:t>
      </w:r>
      <w:r>
        <w:rPr>
          <w:rFonts w:ascii="仿宋_GB2312" w:hAnsi="仿宋" w:eastAsia="仿宋_GB2312" w:cs="仿宋"/>
          <w:snapToGrid w:val="0"/>
          <w:kern w:val="0"/>
          <w:sz w:val="32"/>
          <w:szCs w:val="32"/>
        </w:rPr>
        <w:t>,应当附中文译文</w:t>
      </w:r>
      <w:r>
        <w:rPr>
          <w:rFonts w:hint="eastAsia" w:ascii="仿宋_GB2312" w:hAnsi="仿宋" w:eastAsia="仿宋_GB2312" w:cs="仿宋"/>
          <w:snapToGrid w:val="0"/>
          <w:kern w:val="0"/>
          <w:sz w:val="32"/>
          <w:szCs w:val="32"/>
        </w:rPr>
        <w:t>或中文摘要，申请单位应对其准确性负责。</w:t>
      </w:r>
    </w:p>
    <w:p w14:paraId="36D3BC31">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3.项目申请材料纸件一律采用A4大小纸张，统一编制页码，并按要求加盖公章。</w:t>
      </w:r>
    </w:p>
    <w:p w14:paraId="419608F8">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4.通过线下进行申报时，需准备1份盖章后的申报材料原件，正反面印刷并胶订成册。</w:t>
      </w:r>
    </w:p>
    <w:p w14:paraId="6E7E1F9E">
      <w:pPr>
        <w:adjustRightInd w:val="0"/>
        <w:snapToGrid w:val="0"/>
        <w:spacing w:line="560" w:lineRule="exact"/>
        <w:ind w:firstLine="640" w:firstLineChars="200"/>
        <w:outlineLvl w:val="0"/>
        <w:rPr>
          <w:rFonts w:ascii="楷体_GB2312" w:hAnsi="仿宋" w:eastAsia="楷体_GB2312" w:cs="仿宋"/>
          <w:bCs/>
          <w:snapToGrid w:val="0"/>
          <w:kern w:val="0"/>
          <w:sz w:val="32"/>
          <w:szCs w:val="32"/>
        </w:rPr>
      </w:pPr>
      <w:r>
        <w:rPr>
          <w:rFonts w:hint="eastAsia" w:ascii="楷体_GB2312" w:hAnsi="仿宋" w:eastAsia="楷体_GB2312" w:cs="仿宋"/>
          <w:bCs/>
          <w:snapToGrid w:val="0"/>
          <w:kern w:val="0"/>
          <w:sz w:val="32"/>
          <w:szCs w:val="32"/>
        </w:rPr>
        <w:t>（三）《项目申报书》涉及的主要指标说明</w:t>
      </w:r>
    </w:p>
    <w:p w14:paraId="20485A78">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1.项目名称格式：“涉及纠纷的产品或技术”在“纠纷国家/地区”+“纠纷事项及类型”+“应对”，例如“传感器融合技术在德国专利侵权纠纷应对”。</w:t>
      </w:r>
    </w:p>
    <w:p w14:paraId="3058F223">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2.注册登记类型：企业包括国有企业、集体企业、股份合作企业、联营企业、有限责任公司、股份有限公司、私营企业、港澳台商投资企业、外商投资企业、其他企业；事业单位包括高校、科研院所等。</w:t>
      </w:r>
    </w:p>
    <w:p w14:paraId="7E0A9CAE">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3.产业类型：主要包括新一代信息技术产业、医药健康产业、高端装备制造产业、新能源产业、新材料产业、节能环保产业、文化创意和设计服务、文化信息传输服务、广播电视电影服务、文化休闲娱乐服务、文化艺术服务、新闻出版发行服务、工艺美术品的生产、文化产品生产的辅助生产、文化用品的生产、其他高精尖产业、其他文化科技融合产业、其他产业。</w:t>
      </w:r>
    </w:p>
    <w:p w14:paraId="7D7EB1CB">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4</w:t>
      </w:r>
      <w:r>
        <w:rPr>
          <w:rFonts w:ascii="仿宋_GB2312" w:hAnsi="仿宋" w:eastAsia="仿宋_GB2312" w:cs="仿宋"/>
          <w:snapToGrid w:val="0"/>
          <w:kern w:val="0"/>
          <w:sz w:val="32"/>
          <w:szCs w:val="32"/>
        </w:rPr>
        <w:t>.</w:t>
      </w:r>
      <w:r>
        <w:rPr>
          <w:rFonts w:hint="eastAsia" w:ascii="仿宋_GB2312" w:hAnsi="仿宋" w:eastAsia="仿宋_GB2312" w:cs="仿宋"/>
          <w:snapToGrid w:val="0"/>
          <w:kern w:val="0"/>
          <w:sz w:val="32"/>
          <w:szCs w:val="32"/>
        </w:rPr>
        <w:t>企业规模：</w:t>
      </w:r>
      <w:bookmarkStart w:id="2" w:name="OLE_LINK3"/>
      <w:bookmarkStart w:id="3" w:name="OLE_LINK4"/>
      <w:r>
        <w:rPr>
          <w:rFonts w:hint="eastAsia" w:ascii="仿宋_GB2312" w:hAnsi="仿宋" w:eastAsia="仿宋_GB2312" w:cs="仿宋"/>
          <w:snapToGrid w:val="0"/>
          <w:kern w:val="0"/>
          <w:sz w:val="32"/>
          <w:szCs w:val="32"/>
        </w:rPr>
        <w:t>根据</w:t>
      </w:r>
      <w:r>
        <w:fldChar w:fldCharType="begin"/>
      </w:r>
      <w:r>
        <w:instrText xml:space="preserve"> HYPERLINK "http://www.baidu.com/link?url=B9xOmlNXcBuxSSqGlQoJ7KM5d7fNzTQZ2mzc9RQ_KlLeeTSfe8B78VkYudoiFbCyYuxFsHBjZG8ZJVc2iqmJXa" \t "_blank" </w:instrText>
      </w:r>
      <w:r>
        <w:fldChar w:fldCharType="separate"/>
      </w:r>
      <w:r>
        <w:rPr>
          <w:rFonts w:ascii="仿宋_GB2312" w:hAnsi="仿宋" w:eastAsia="仿宋_GB2312" w:cs="仿宋"/>
          <w:snapToGrid w:val="0"/>
          <w:kern w:val="0"/>
          <w:sz w:val="32"/>
          <w:szCs w:val="32"/>
        </w:rPr>
        <w:t>国家统计局</w:t>
      </w:r>
      <w:r>
        <w:rPr>
          <w:rFonts w:ascii="仿宋_GB2312" w:hAnsi="仿宋" w:eastAsia="仿宋_GB2312" w:cs="仿宋"/>
          <w:snapToGrid w:val="0"/>
          <w:kern w:val="0"/>
          <w:sz w:val="32"/>
          <w:szCs w:val="32"/>
        </w:rPr>
        <w:fldChar w:fldCharType="end"/>
      </w:r>
      <w:r>
        <w:rPr>
          <w:rFonts w:hint="eastAsia" w:ascii="仿宋_GB2312" w:hAnsi="仿宋" w:eastAsia="仿宋_GB2312" w:cs="仿宋"/>
          <w:snapToGrid w:val="0"/>
          <w:kern w:val="0"/>
          <w:sz w:val="32"/>
          <w:szCs w:val="32"/>
        </w:rPr>
        <w:t>《统计上大中小微型企业划分办法（</w:t>
      </w:r>
      <w:r>
        <w:rPr>
          <w:rFonts w:ascii="仿宋_GB2312" w:hAnsi="仿宋" w:eastAsia="仿宋_GB2312" w:cs="仿宋"/>
          <w:snapToGrid w:val="0"/>
          <w:kern w:val="0"/>
          <w:sz w:val="32"/>
          <w:szCs w:val="32"/>
        </w:rPr>
        <w:t>2017）》对大型、中型、小型、微型企业进行划分</w:t>
      </w:r>
      <w:bookmarkEnd w:id="2"/>
      <w:bookmarkEnd w:id="3"/>
      <w:r>
        <w:rPr>
          <w:rFonts w:ascii="仿宋_GB2312" w:hAnsi="仿宋" w:eastAsia="仿宋_GB2312" w:cs="仿宋"/>
          <w:snapToGrid w:val="0"/>
          <w:kern w:val="0"/>
          <w:sz w:val="32"/>
          <w:szCs w:val="32"/>
        </w:rPr>
        <w:t>。</w:t>
      </w:r>
    </w:p>
    <w:p w14:paraId="370BD304">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5.企业资质：包括但不限于由工业和信息化部、国家知识产权局、北京市知识产权局等各级有关部门认定的国家级或北京市级知识产权试点、优势、示范企业、知识产权运营试点单位、专精特新“小巨人”企业、企业技术中心等表明企业在创新创造或对外贸易上具有优秀表现的资质证明。</w:t>
      </w:r>
    </w:p>
    <w:p w14:paraId="440F9F2B">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6.项目涉及纠纷的影响：</w:t>
      </w:r>
    </w:p>
    <w:p w14:paraId="0765D555">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（1</w:t>
      </w:r>
      <w:r>
        <w:rPr>
          <w:rFonts w:ascii="仿宋_GB2312" w:hAnsi="仿宋" w:eastAsia="仿宋_GB2312" w:cs="仿宋"/>
          <w:snapToGrid w:val="0"/>
          <w:kern w:val="0"/>
          <w:sz w:val="32"/>
          <w:szCs w:val="32"/>
        </w:rPr>
        <w:t>）应对此纠纷</w:t>
      </w:r>
      <w:r>
        <w:rPr>
          <w:rFonts w:hint="eastAsia" w:ascii="仿宋_GB2312" w:hAnsi="仿宋" w:eastAsia="仿宋_GB2312" w:cs="仿宋"/>
          <w:snapToGrid w:val="0"/>
          <w:kern w:val="0"/>
          <w:sz w:val="32"/>
          <w:szCs w:val="32"/>
        </w:rPr>
        <w:t>已产生（或即将产生）</w:t>
      </w:r>
      <w:r>
        <w:rPr>
          <w:rFonts w:ascii="仿宋_GB2312" w:hAnsi="仿宋" w:eastAsia="仿宋_GB2312" w:cs="仿宋"/>
          <w:snapToGrid w:val="0"/>
          <w:kern w:val="0"/>
          <w:sz w:val="32"/>
          <w:szCs w:val="32"/>
        </w:rPr>
        <w:t>的维权成本：</w:t>
      </w:r>
      <w:r>
        <w:rPr>
          <w:rFonts w:hint="eastAsia" w:ascii="仿宋_GB2312" w:hAnsi="仿宋" w:eastAsia="仿宋_GB2312" w:cs="仿宋"/>
          <w:snapToGrid w:val="0"/>
          <w:kern w:val="0"/>
          <w:sz w:val="32"/>
          <w:szCs w:val="32"/>
        </w:rPr>
        <w:t>指为应对项目涉及的海外知识产权纠纷等重大事项而产生的诉讼费、仲裁费、律师费、公证费、调查费、鉴定费、检索分析费、咨询费等维权成本，需预估具体金额，并按费用类型逐项列明；</w:t>
      </w:r>
    </w:p>
    <w:p w14:paraId="20EE524A">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（2）纠纷造成的经济损失：指项目涉及的海外知识产权纠纷和事项对申请人造成的海外市场营业额损失、收益降低等经济损失，需预估具体金额，并进行说明。</w:t>
      </w:r>
    </w:p>
    <w:p w14:paraId="09F3407F">
      <w:pPr>
        <w:adjustRightInd w:val="0"/>
        <w:snapToGrid w:val="0"/>
        <w:spacing w:line="560" w:lineRule="exact"/>
        <w:ind w:firstLine="640" w:firstLineChars="200"/>
        <w:rPr>
          <w:rFonts w:ascii="仿宋_GB2312" w:hAnsi="仿宋" w:eastAsia="仿宋_GB2312" w:cs="仿宋"/>
          <w:snapToGrid w:val="0"/>
          <w:kern w:val="0"/>
          <w:sz w:val="32"/>
          <w:szCs w:val="32"/>
        </w:rPr>
      </w:pPr>
      <w:r>
        <w:rPr>
          <w:rFonts w:hint="eastAsia" w:ascii="仿宋_GB2312" w:hAnsi="仿宋" w:eastAsia="仿宋_GB2312" w:cs="仿宋"/>
          <w:snapToGrid w:val="0"/>
          <w:kern w:val="0"/>
          <w:sz w:val="32"/>
          <w:szCs w:val="32"/>
        </w:rPr>
        <w:t>7.说明知识产权纠纷</w:t>
      </w:r>
      <w:r>
        <w:rPr>
          <w:rFonts w:hint="eastAsia" w:ascii="仿宋_GB2312" w:eastAsia="仿宋_GB2312"/>
          <w:sz w:val="32"/>
          <w:szCs w:val="32"/>
        </w:rPr>
        <w:t>和</w:t>
      </w:r>
      <w:r>
        <w:rPr>
          <w:rFonts w:hint="eastAsia" w:ascii="仿宋_GB2312" w:hAnsi="仿宋" w:eastAsia="仿宋_GB2312" w:cs="仿宋"/>
          <w:snapToGrid w:val="0"/>
          <w:kern w:val="0"/>
          <w:sz w:val="32"/>
          <w:szCs w:val="32"/>
        </w:rPr>
        <w:t>事项正在发生的材料:如侵权警告函、律师函、起诉状、禁令等；</w:t>
      </w:r>
    </w:p>
    <w:p w14:paraId="5B09741D">
      <w:pPr>
        <w:widowControl/>
        <w:adjustRightInd w:val="0"/>
        <w:snapToGrid w:val="0"/>
        <w:spacing w:line="560" w:lineRule="exact"/>
        <w:ind w:firstLine="640"/>
        <w:rPr>
          <w:rFonts w:ascii="仿宋_GB2312" w:eastAsia="仿宋_GB2312"/>
          <w:bCs/>
          <w:sz w:val="32"/>
          <w:szCs w:val="32"/>
        </w:rPr>
      </w:pPr>
      <w:r>
        <w:rPr>
          <w:rFonts w:hint="eastAsia" w:ascii="仿宋_GB2312" w:hAnsi="仿宋" w:eastAsia="仿宋_GB2312" w:cs="仿宋"/>
          <w:snapToGrid w:val="0"/>
          <w:kern w:val="0"/>
          <w:sz w:val="32"/>
          <w:szCs w:val="32"/>
        </w:rPr>
        <w:t>8.说明知识产权纠纷</w:t>
      </w:r>
      <w:r>
        <w:rPr>
          <w:rFonts w:hint="eastAsia" w:ascii="仿宋_GB2312" w:eastAsia="仿宋_GB2312"/>
          <w:sz w:val="32"/>
          <w:szCs w:val="32"/>
        </w:rPr>
        <w:t>和</w:t>
      </w:r>
      <w:r>
        <w:rPr>
          <w:rFonts w:hint="eastAsia" w:ascii="仿宋_GB2312" w:hAnsi="仿宋" w:eastAsia="仿宋_GB2312" w:cs="仿宋"/>
          <w:snapToGrid w:val="0"/>
          <w:kern w:val="0"/>
          <w:sz w:val="32"/>
          <w:szCs w:val="32"/>
        </w:rPr>
        <w:t>事项已取得有利结果的材料:如</w:t>
      </w:r>
      <w:r>
        <w:rPr>
          <w:rFonts w:hint="eastAsia" w:ascii="仿宋_GB2312" w:eastAsia="仿宋_GB2312"/>
          <w:sz w:val="32"/>
          <w:szCs w:val="32"/>
        </w:rPr>
        <w:t>司法判决、行政裁决、仲裁裁决、和解协议等</w:t>
      </w:r>
      <w:r>
        <w:rPr>
          <w:rFonts w:hint="eastAsia" w:ascii="仿宋_GB2312" w:hAnsi="仿宋" w:eastAsia="仿宋_GB2312" w:cs="仿宋"/>
          <w:snapToGrid w:val="0"/>
          <w:kern w:val="0"/>
          <w:sz w:val="32"/>
          <w:szCs w:val="32"/>
        </w:rPr>
        <w:t>，其中：</w:t>
      </w:r>
    </w:p>
    <w:p w14:paraId="77161E26">
      <w:pPr>
        <w:widowControl/>
        <w:adjustRightInd w:val="0"/>
        <w:snapToGrid w:val="0"/>
        <w:spacing w:line="560" w:lineRule="exact"/>
        <w:ind w:firstLine="640"/>
        <w:rPr>
          <w:rFonts w:ascii="仿宋_GB2312"/>
          <w:bCs/>
          <w:sz w:val="32"/>
          <w:szCs w:val="32"/>
        </w:rPr>
      </w:pPr>
      <w:r>
        <w:rPr>
          <w:rFonts w:hint="eastAsia" w:ascii="仿宋_GB2312" w:eastAsia="仿宋_GB2312"/>
          <w:bCs/>
          <w:sz w:val="32"/>
          <w:szCs w:val="32"/>
        </w:rPr>
        <w:t>申请人作为纠纷发起方的，有利结果可以包括以下情形：</w:t>
      </w:r>
    </w:p>
    <w:p w14:paraId="424AEF94">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（1）司法判决、行政裁决、仲裁裁决中明确认定侵权行为成立，或核发临时或永久禁令；</w:t>
      </w:r>
    </w:p>
    <w:p w14:paraId="4910EA0C">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（2）司法判决、行政裁决、仲裁裁决中主要主张获得支持的；</w:t>
      </w:r>
    </w:p>
    <w:p w14:paraId="449F81B7">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（3）行政裁决中作出排除令、疑似抢注商标不予注册或宣告无效等有利决定；</w:t>
      </w:r>
    </w:p>
    <w:p w14:paraId="6647E458">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（4）调解或和解协议包含侵权方停止侵权、支付赔偿金或达成许可使用条款等实质性权益保障内容；</w:t>
      </w:r>
    </w:p>
    <w:p w14:paraId="7AE32AA1">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（5）在展会、电商等公开场合通过平台投诉、行政或司法程序成功令侵权产品撤展、遮盖或下架，或后续诉讼或仲裁中确认侵权成立的；</w:t>
      </w:r>
    </w:p>
    <w:p w14:paraId="772C3179">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（6）海关扣押没收侵权货物，侵权产品被销毁，或侵权方受到其他行政处罚或被提起刑事诉讼的；</w:t>
      </w:r>
    </w:p>
    <w:p w14:paraId="1EF12F82">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（7）其他能够证明纠纷取得有利结果的（例如国际组织或机构确认、公开媒体报道、行业声明、网站关停事实等）。</w:t>
      </w:r>
    </w:p>
    <w:p w14:paraId="7D338753">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申请人作为纠纷应对方的，有利结果包括以下情形：</w:t>
      </w:r>
    </w:p>
    <w:p w14:paraId="72028544">
      <w:pPr>
        <w:widowControl/>
        <w:adjustRightInd w:val="0"/>
        <w:snapToGrid w:val="0"/>
        <w:spacing w:line="560" w:lineRule="exact"/>
        <w:ind w:firstLine="640" w:firstLineChars="200"/>
        <w:rPr>
          <w:rFonts w:ascii="仿宋_GB2312" w:eastAsia="仿宋_GB2312"/>
          <w:bCs/>
          <w:sz w:val="32"/>
          <w:szCs w:val="32"/>
        </w:rPr>
      </w:pPr>
      <w:r>
        <w:rPr>
          <w:rFonts w:hint="eastAsia" w:ascii="仿宋_GB2312" w:eastAsia="仿宋_GB2312"/>
          <w:bCs/>
          <w:sz w:val="32"/>
          <w:szCs w:val="32"/>
        </w:rPr>
        <w:t>（1）司法判决、行政裁决、仲裁裁决中驳回原告方诉求，或裁定不构成侵权，或原告方撤诉/撤回处理请求；</w:t>
      </w:r>
    </w:p>
    <w:p w14:paraId="1BEEFF5D">
      <w:pPr>
        <w:widowControl/>
        <w:adjustRightInd w:val="0"/>
        <w:snapToGrid w:val="0"/>
        <w:spacing w:line="560" w:lineRule="exact"/>
        <w:ind w:firstLine="640" w:firstLineChars="200"/>
        <w:rPr>
          <w:rFonts w:ascii="仿宋_GB2312" w:eastAsia="仿宋_GB2312"/>
          <w:bCs/>
          <w:sz w:val="32"/>
          <w:szCs w:val="32"/>
        </w:rPr>
      </w:pPr>
      <w:r>
        <w:rPr>
          <w:rFonts w:hint="eastAsia" w:ascii="仿宋_GB2312" w:eastAsia="仿宋_GB2312"/>
          <w:bCs/>
          <w:sz w:val="32"/>
          <w:szCs w:val="32"/>
        </w:rPr>
        <w:t>（2）司法判决、行政裁决、仲裁裁决中强烈削弱对方主张（例如大幅降低对方主张判赔额或使对方放弃部分诉求、限定商标许可范围、最终裁判结果较之诉讼请求区别较大等）；</w:t>
      </w:r>
    </w:p>
    <w:p w14:paraId="4B9B57DA">
      <w:pPr>
        <w:widowControl/>
        <w:adjustRightInd w:val="0"/>
        <w:snapToGrid w:val="0"/>
        <w:spacing w:line="560" w:lineRule="exact"/>
        <w:ind w:firstLine="640" w:firstLineChars="200"/>
        <w:rPr>
          <w:rFonts w:ascii="仿宋_GB2312" w:eastAsia="仿宋_GB2312"/>
          <w:bCs/>
          <w:sz w:val="32"/>
          <w:szCs w:val="32"/>
        </w:rPr>
      </w:pPr>
      <w:r>
        <w:rPr>
          <w:rFonts w:hint="eastAsia" w:ascii="仿宋_GB2312" w:eastAsia="仿宋_GB2312"/>
          <w:bCs/>
          <w:sz w:val="32"/>
          <w:szCs w:val="32"/>
        </w:rPr>
        <w:t>（3）行政裁决中作出终止调查、维持申请人专利权或商标权有效、商标核准注册等有利决定；</w:t>
      </w:r>
    </w:p>
    <w:p w14:paraId="61B95B6B">
      <w:pPr>
        <w:widowControl/>
        <w:adjustRightInd w:val="0"/>
        <w:snapToGrid w:val="0"/>
        <w:spacing w:line="560" w:lineRule="exact"/>
        <w:ind w:firstLine="640" w:firstLineChars="200"/>
        <w:rPr>
          <w:rFonts w:ascii="仿宋_GB2312" w:eastAsia="仿宋_GB2312"/>
          <w:bCs/>
          <w:sz w:val="32"/>
          <w:szCs w:val="32"/>
        </w:rPr>
      </w:pPr>
      <w:r>
        <w:rPr>
          <w:rFonts w:hint="eastAsia" w:ascii="仿宋_GB2312" w:eastAsia="仿宋_GB2312"/>
          <w:bCs/>
          <w:sz w:val="32"/>
          <w:szCs w:val="32"/>
        </w:rPr>
        <w:t>（4）调解或和解协议未载明侵权事实或实质性不利条款；</w:t>
      </w:r>
    </w:p>
    <w:p w14:paraId="024C3E3A">
      <w:pPr>
        <w:widowControl/>
        <w:adjustRightInd w:val="0"/>
        <w:snapToGrid w:val="0"/>
        <w:spacing w:line="560" w:lineRule="exact"/>
        <w:ind w:firstLine="640" w:firstLineChars="200"/>
        <w:rPr>
          <w:rFonts w:ascii="仿宋_GB2312" w:eastAsia="仿宋_GB2312"/>
          <w:bCs/>
          <w:sz w:val="32"/>
          <w:szCs w:val="32"/>
        </w:rPr>
      </w:pPr>
      <w:r>
        <w:rPr>
          <w:rFonts w:hint="eastAsia" w:ascii="仿宋_GB2312" w:eastAsia="仿宋_GB2312"/>
          <w:bCs/>
          <w:sz w:val="32"/>
          <w:szCs w:val="32"/>
        </w:rPr>
        <w:t>（5）展会过程中产品未被撤展、遮盖或下架，电商被投诉后申诉成功，或后续诉讼或仲裁中确认侵权不成立的；</w:t>
      </w:r>
    </w:p>
    <w:p w14:paraId="3B88C2AD">
      <w:pPr>
        <w:widowControl/>
        <w:adjustRightInd w:val="0"/>
        <w:snapToGrid w:val="0"/>
        <w:spacing w:line="560" w:lineRule="exact"/>
        <w:ind w:firstLine="640" w:firstLineChars="200"/>
        <w:rPr>
          <w:rFonts w:ascii="仿宋_GB2312" w:eastAsia="仿宋_GB2312"/>
          <w:bCs/>
          <w:sz w:val="32"/>
          <w:szCs w:val="32"/>
        </w:rPr>
      </w:pPr>
      <w:r>
        <w:rPr>
          <w:rFonts w:hint="eastAsia" w:ascii="仿宋_GB2312" w:eastAsia="仿宋_GB2312"/>
          <w:bCs/>
          <w:sz w:val="32"/>
          <w:szCs w:val="32"/>
        </w:rPr>
        <w:t>（6）海关解除扣押，证明货物合法来源，未予行政处罚，或减少经济损失的；</w:t>
      </w:r>
    </w:p>
    <w:p w14:paraId="05B83E66">
      <w:pPr>
        <w:widowControl/>
        <w:adjustRightInd w:val="0"/>
        <w:snapToGrid w:val="0"/>
        <w:spacing w:line="560" w:lineRule="exact"/>
        <w:ind w:firstLine="640"/>
        <w:rPr>
          <w:rFonts w:ascii="仿宋_GB2312" w:eastAsia="仿宋_GB2312"/>
          <w:bCs/>
          <w:sz w:val="32"/>
          <w:szCs w:val="32"/>
        </w:rPr>
      </w:pPr>
      <w:r>
        <w:rPr>
          <w:rFonts w:hint="eastAsia" w:ascii="仿宋_GB2312" w:eastAsia="仿宋_GB2312"/>
          <w:bCs/>
          <w:sz w:val="32"/>
          <w:szCs w:val="32"/>
        </w:rPr>
        <w:t>（7）其他能够证明纠纷取得有利结果的。</w:t>
      </w:r>
    </w:p>
    <w:p w14:paraId="30E8291F">
      <w:pPr>
        <w:adjustRightInd w:val="0"/>
        <w:snapToGrid w:val="0"/>
        <w:spacing w:line="560" w:lineRule="exact"/>
        <w:ind w:firstLine="640" w:firstLineChars="200"/>
        <w:outlineLvl w:val="0"/>
        <w:rPr>
          <w:rFonts w:ascii="黑体" w:hAnsi="黑体" w:eastAsia="黑体"/>
          <w:bCs/>
          <w:snapToGrid w:val="0"/>
          <w:kern w:val="0"/>
          <w:sz w:val="32"/>
          <w:szCs w:val="32"/>
        </w:rPr>
      </w:pPr>
      <w:r>
        <w:rPr>
          <w:rFonts w:hint="eastAsia" w:ascii="黑体" w:hAnsi="黑体" w:eastAsia="黑体"/>
          <w:bCs/>
          <w:snapToGrid w:val="0"/>
          <w:kern w:val="0"/>
          <w:sz w:val="32"/>
          <w:szCs w:val="32"/>
        </w:rPr>
        <w:t>五、申报方式</w:t>
      </w:r>
    </w:p>
    <w:p w14:paraId="669FD28C">
      <w:pPr>
        <w:adjustRightInd w:val="0"/>
        <w:snapToGrid w:val="0"/>
        <w:spacing w:line="560" w:lineRule="exact"/>
        <w:ind w:firstLine="640" w:firstLineChars="200"/>
        <w:rPr>
          <w:rFonts w:ascii="楷体_GB2312" w:eastAsia="楷体_GB2312"/>
          <w:sz w:val="32"/>
          <w:szCs w:val="32"/>
        </w:rPr>
      </w:pPr>
      <w:r>
        <w:rPr>
          <w:rFonts w:hint="eastAsia" w:ascii="楷体_GB2312" w:eastAsia="楷体_GB2312"/>
          <w:sz w:val="32"/>
          <w:szCs w:val="32"/>
        </w:rPr>
        <w:t>（一）线下申报方式</w:t>
      </w:r>
    </w:p>
    <w:p w14:paraId="297C994B">
      <w:pPr>
        <w:adjustRightInd w:val="0"/>
        <w:snapToGrid w:val="0"/>
        <w:spacing w:line="560" w:lineRule="exact"/>
        <w:ind w:firstLine="640" w:firstLineChars="200"/>
        <w:rPr>
          <w:rFonts w:ascii="仿宋_GB2312" w:eastAsia="仿宋_GB2312"/>
          <w:sz w:val="32"/>
          <w:szCs w:val="32"/>
        </w:rPr>
      </w:pPr>
      <w:r>
        <w:rPr>
          <w:rFonts w:hint="eastAsia" w:ascii="仿宋_GB2312" w:eastAsia="仿宋_GB2312"/>
          <w:sz w:val="32"/>
          <w:szCs w:val="32"/>
        </w:rPr>
        <w:t>根据《北京市海外知识产权维权援助项目各区知识产权管理部门或行政服务中心联系方式及线上申报链接》（附件4），选择企事业单位或社会组织注册地的区知识产权管理部门或区行政服务中心综合服务窗口，按照相应的地址信息，携带申报材料纸质版前往线下窗口对政务服务事项中的“海外知识产权维权援助”事项进行申报。</w:t>
      </w:r>
    </w:p>
    <w:p w14:paraId="2F461EB6">
      <w:pPr>
        <w:adjustRightInd w:val="0"/>
        <w:snapToGrid w:val="0"/>
        <w:spacing w:line="560" w:lineRule="exact"/>
        <w:ind w:firstLine="640" w:firstLineChars="200"/>
        <w:rPr>
          <w:rFonts w:ascii="楷体_GB2312" w:eastAsia="楷体_GB2312"/>
          <w:sz w:val="32"/>
          <w:szCs w:val="32"/>
        </w:rPr>
      </w:pPr>
      <w:r>
        <w:rPr>
          <w:rFonts w:hint="eastAsia" w:ascii="楷体_GB2312" w:eastAsia="楷体_GB2312"/>
          <w:sz w:val="32"/>
          <w:szCs w:val="32"/>
        </w:rPr>
        <w:t>（二）线上申报方式</w:t>
      </w:r>
    </w:p>
    <w:p w14:paraId="01601BB6">
      <w:pPr>
        <w:adjustRightInd w:val="0"/>
        <w:snapToGrid w:val="0"/>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方式1：</w:t>
      </w:r>
    </w:p>
    <w:p w14:paraId="374666A2">
      <w:pPr>
        <w:adjustRightInd w:val="0"/>
        <w:snapToGrid w:val="0"/>
        <w:spacing w:line="560" w:lineRule="exact"/>
        <w:ind w:firstLine="640" w:firstLineChars="200"/>
        <w:rPr>
          <w:rFonts w:ascii="仿宋_GB2312" w:hAnsi="微软雅黑" w:eastAsia="仿宋_GB2312"/>
          <w:color w:val="000000" w:themeColor="text1"/>
          <w:sz w:val="32"/>
          <w:szCs w:val="32"/>
          <w14:textFill>
            <w14:solidFill>
              <w14:schemeClr w14:val="tx1"/>
            </w14:solidFill>
          </w14:textFill>
        </w:rPr>
      </w:pPr>
      <w:r>
        <w:rPr>
          <w:rFonts w:hint="eastAsia" w:ascii="仿宋_GB2312" w:hAnsi="仿宋" w:eastAsia="仿宋_GB2312" w:cs="仿宋"/>
          <w:snapToGrid w:val="0"/>
          <w:kern w:val="0"/>
          <w:sz w:val="32"/>
          <w:szCs w:val="32"/>
        </w:rPr>
        <w:t>选择企</w:t>
      </w:r>
      <w:r>
        <w:rPr>
          <w:rFonts w:hint="eastAsia" w:ascii="仿宋_GB2312" w:hAnsi="微软雅黑" w:eastAsia="仿宋_GB2312"/>
          <w:color w:val="000000" w:themeColor="text1"/>
          <w:sz w:val="32"/>
          <w:szCs w:val="32"/>
          <w14:textFill>
            <w14:solidFill>
              <w14:schemeClr w14:val="tx1"/>
            </w14:solidFill>
          </w14:textFill>
        </w:rPr>
        <w:t>事业单位或社会组织注册地的区知识产权管理部门的“海外知识产权维权援助”申报链接进入申报网页，点击“网上办理”，插入北京法人一证通（如果没有北京法人一证通，可在登录界面中点击“申请证书”按要求填写相关材料进行申请，“申请证书”咨询电话为</w:t>
      </w:r>
      <w:r>
        <w:rPr>
          <w:rFonts w:ascii="仿宋_GB2312" w:hAnsi="微软雅黑" w:eastAsia="仿宋_GB2312"/>
          <w:color w:val="000000" w:themeColor="text1"/>
          <w:sz w:val="32"/>
          <w:szCs w:val="32"/>
          <w14:textFill>
            <w14:solidFill>
              <w14:schemeClr w14:val="tx1"/>
            </w14:solidFill>
          </w14:textFill>
        </w:rPr>
        <w:t>400-700-1900）</w:t>
      </w:r>
      <w:r>
        <w:rPr>
          <w:rFonts w:hint="eastAsia" w:ascii="仿宋_GB2312" w:hAnsi="微软雅黑" w:eastAsia="仿宋_GB2312"/>
          <w:color w:val="000000" w:themeColor="text1"/>
          <w:sz w:val="32"/>
          <w:szCs w:val="32"/>
          <w14:textFill>
            <w14:solidFill>
              <w14:schemeClr w14:val="tx1"/>
            </w14:solidFill>
          </w14:textFill>
        </w:rPr>
        <w:t>，</w:t>
      </w:r>
      <w:r>
        <w:rPr>
          <w:rFonts w:ascii="仿宋_GB2312" w:hAnsi="微软雅黑" w:eastAsia="仿宋_GB2312"/>
          <w:color w:val="000000" w:themeColor="text1"/>
          <w:sz w:val="32"/>
          <w:szCs w:val="32"/>
          <w14:textFill>
            <w14:solidFill>
              <w14:schemeClr w14:val="tx1"/>
            </w14:solidFill>
          </w14:textFill>
        </w:rPr>
        <w:t>输入密码后登录，在线申报并提交材料，具体申报</w:t>
      </w:r>
      <w:r>
        <w:rPr>
          <w:rFonts w:hint="eastAsia" w:ascii="仿宋_GB2312" w:hAnsi="微软雅黑" w:eastAsia="仿宋_GB2312"/>
          <w:color w:val="000000" w:themeColor="text1"/>
          <w:sz w:val="32"/>
          <w:szCs w:val="32"/>
          <w14:textFill>
            <w14:solidFill>
              <w14:schemeClr w14:val="tx1"/>
            </w14:solidFill>
          </w14:textFill>
        </w:rPr>
        <w:t>链接见附件4。</w:t>
      </w:r>
    </w:p>
    <w:p w14:paraId="171E8496">
      <w:pPr>
        <w:adjustRightInd w:val="0"/>
        <w:snapToGrid w:val="0"/>
        <w:spacing w:line="56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方式2：</w:t>
      </w:r>
    </w:p>
    <w:p w14:paraId="451DE52E">
      <w:pPr>
        <w:adjustRightInd w:val="0"/>
        <w:snapToGrid w:val="0"/>
        <w:spacing w:line="560" w:lineRule="exact"/>
        <w:ind w:firstLine="640" w:firstLineChars="200"/>
        <w:rPr>
          <w:rFonts w:ascii="仿宋_GB2312" w:eastAsia="仿宋_GB2312"/>
          <w:color w:val="000000" w:themeColor="text1"/>
          <w:sz w:val="32"/>
          <w:szCs w:val="32"/>
          <w14:textFill>
            <w14:solidFill>
              <w14:schemeClr w14:val="tx1"/>
            </w14:solidFill>
          </w14:textFill>
        </w:rPr>
      </w:pPr>
      <w:r>
        <w:rPr>
          <w:rFonts w:ascii="仿宋_GB2312" w:eastAsia="仿宋_GB2312"/>
          <w:color w:val="000000" w:themeColor="text1"/>
          <w:sz w:val="32"/>
          <w:szCs w:val="32"/>
          <w14:textFill>
            <w14:solidFill>
              <w14:schemeClr w14:val="tx1"/>
            </w14:solidFill>
          </w14:textFill>
        </w:rPr>
        <w:t>1.</w:t>
      </w:r>
      <w:r>
        <w:rPr>
          <w:rFonts w:hint="eastAsia" w:ascii="仿宋_GB2312" w:eastAsia="仿宋_GB2312"/>
          <w:color w:val="000000" w:themeColor="text1"/>
          <w:sz w:val="32"/>
          <w:szCs w:val="32"/>
          <w14:textFill>
            <w14:solidFill>
              <w14:schemeClr w14:val="tx1"/>
            </w14:solidFill>
          </w14:textFill>
        </w:rPr>
        <w:t>登录“首都之窗”首页（</w:t>
      </w:r>
      <w:r>
        <w:rPr>
          <w:rFonts w:ascii="仿宋_GB2312" w:eastAsia="仿宋_GB2312"/>
          <w:color w:val="000000" w:themeColor="text1"/>
          <w:sz w:val="32"/>
          <w:szCs w:val="32"/>
          <w14:textFill>
            <w14:solidFill>
              <w14:schemeClr w14:val="tx1"/>
            </w14:solidFill>
          </w14:textFill>
        </w:rPr>
        <w:t>http://www.beijing.gov.cn/</w:t>
      </w:r>
      <w:r>
        <w:rPr>
          <w:rFonts w:hint="eastAsia" w:ascii="仿宋_GB2312" w:eastAsia="仿宋_GB2312"/>
          <w:color w:val="000000" w:themeColor="text1"/>
          <w:sz w:val="32"/>
          <w:szCs w:val="32"/>
          <w14:textFill>
            <w14:solidFill>
              <w14:schemeClr w14:val="tx1"/>
            </w14:solidFill>
          </w14:textFill>
        </w:rPr>
        <w:t>），点击屏幕中上部“政务服务”，或直接登录“北京市政务服务网”（</w:t>
      </w:r>
      <w:r>
        <w:fldChar w:fldCharType="begin"/>
      </w:r>
      <w:r>
        <w:instrText xml:space="preserve"> HYPERLINK "http://banshi.beijing.gov.cn/" </w:instrText>
      </w:r>
      <w:r>
        <w:fldChar w:fldCharType="separate"/>
      </w:r>
      <w:r>
        <w:rPr>
          <w:rStyle w:val="20"/>
          <w:rFonts w:ascii="仿宋_GB2312" w:eastAsia="仿宋_GB2312"/>
          <w:color w:val="000000" w:themeColor="text1"/>
          <w:sz w:val="32"/>
          <w:szCs w:val="32"/>
          <w14:textFill>
            <w14:solidFill>
              <w14:schemeClr w14:val="tx1"/>
            </w14:solidFill>
          </w14:textFill>
        </w:rPr>
        <w:t>http://banshi.beijing.gov.cn/</w:t>
      </w:r>
      <w:r>
        <w:rPr>
          <w:rStyle w:val="20"/>
          <w:rFonts w:ascii="仿宋_GB2312" w:eastAsia="仿宋_GB2312"/>
          <w:color w:val="000000" w:themeColor="text1"/>
          <w:sz w:val="32"/>
          <w:szCs w:val="32"/>
          <w14:textFill>
            <w14:solidFill>
              <w14:schemeClr w14:val="tx1"/>
            </w14:solidFill>
          </w14:textFill>
        </w:rPr>
        <w:fldChar w:fldCharType="end"/>
      </w:r>
      <w:r>
        <w:rPr>
          <w:rFonts w:hint="eastAsia" w:ascii="仿宋_GB2312" w:eastAsia="仿宋_GB2312"/>
          <w:color w:val="000000" w:themeColor="text1"/>
          <w:sz w:val="32"/>
          <w:szCs w:val="32"/>
          <w14:textFill>
            <w14:solidFill>
              <w14:schemeClr w14:val="tx1"/>
            </w14:solidFill>
          </w14:textFill>
        </w:rPr>
        <w:t>）。</w:t>
      </w:r>
    </w:p>
    <w:p w14:paraId="43A7800A">
      <w:pPr>
        <w:spacing w:beforeLines="100"/>
        <w:ind w:firstLine="640"/>
        <w:jc w:val="center"/>
        <w:rPr>
          <w:rFonts w:ascii="仿宋_GB2312" w:eastAsia="仿宋_GB2312"/>
          <w:sz w:val="32"/>
          <w:szCs w:val="32"/>
        </w:rPr>
      </w:pPr>
      <w:r>
        <w:drawing>
          <wp:inline distT="0" distB="0" distL="0" distR="0">
            <wp:extent cx="5486400" cy="2907665"/>
            <wp:effectExtent l="0" t="0" r="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 cstate="print"/>
                    <a:stretch>
                      <a:fillRect/>
                    </a:stretch>
                  </pic:blipFill>
                  <pic:spPr>
                    <a:xfrm>
                      <a:off x="0" y="0"/>
                      <a:ext cx="5486400" cy="2907665"/>
                    </a:xfrm>
                    <a:prstGeom prst="rect">
                      <a:avLst/>
                    </a:prstGeom>
                  </pic:spPr>
                </pic:pic>
              </a:graphicData>
            </a:graphic>
          </wp:inline>
        </w:drawing>
      </w:r>
    </w:p>
    <w:p w14:paraId="629DBEAA">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点击屏幕右上角“切换区域”选择所在区域（请申报单位选择企事业单位或社会组织</w:t>
      </w:r>
      <w:r>
        <w:rPr>
          <w:rFonts w:hint="eastAsia" w:ascii="仿宋_GB2312" w:hAnsi="微软雅黑" w:eastAsia="仿宋_GB2312"/>
          <w:color w:val="000000" w:themeColor="text1"/>
          <w:sz w:val="32"/>
          <w:szCs w:val="32"/>
          <w14:textFill>
            <w14:solidFill>
              <w14:schemeClr w14:val="tx1"/>
            </w14:solidFill>
          </w14:textFill>
        </w:rPr>
        <w:t>注册地</w:t>
      </w:r>
      <w:r>
        <w:rPr>
          <w:rFonts w:hint="eastAsia" w:ascii="仿宋_GB2312" w:eastAsia="仿宋_GB2312"/>
          <w:sz w:val="32"/>
          <w:szCs w:val="32"/>
        </w:rPr>
        <w:t>所在区）。</w:t>
      </w:r>
    </w:p>
    <w:p w14:paraId="39506D0C">
      <w:pPr>
        <w:spacing w:beforeLines="100"/>
        <w:ind w:firstLine="640"/>
        <w:jc w:val="left"/>
        <w:rPr>
          <w:rFonts w:ascii="仿宋_GB2312" w:eastAsia="仿宋_GB2312"/>
          <w:sz w:val="32"/>
          <w:szCs w:val="32"/>
        </w:rPr>
      </w:pPr>
      <w:r>
        <w:drawing>
          <wp:inline distT="0" distB="0" distL="0" distR="0">
            <wp:extent cx="5486400" cy="284035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6" cstate="print"/>
                    <a:stretch>
                      <a:fillRect/>
                    </a:stretch>
                  </pic:blipFill>
                  <pic:spPr>
                    <a:xfrm>
                      <a:off x="0" y="0"/>
                      <a:ext cx="5486400" cy="2840355"/>
                    </a:xfrm>
                    <a:prstGeom prst="rect">
                      <a:avLst/>
                    </a:prstGeom>
                  </pic:spPr>
                </pic:pic>
              </a:graphicData>
            </a:graphic>
          </wp:inline>
        </w:drawing>
      </w:r>
    </w:p>
    <w:p w14:paraId="5B602494">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以东城区为例，选择“东城区”后，选择“部门服务”。</w:t>
      </w:r>
    </w:p>
    <w:p w14:paraId="051EE7AA">
      <w:pPr>
        <w:ind w:firstLine="640"/>
        <w:rPr>
          <w:rFonts w:ascii="仿宋_GB2312" w:eastAsia="仿宋_GB2312"/>
          <w:sz w:val="32"/>
          <w:szCs w:val="32"/>
        </w:rPr>
      </w:pPr>
      <w:r>
        <w:drawing>
          <wp:inline distT="0" distB="0" distL="0" distR="0">
            <wp:extent cx="5486400" cy="268668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7" cstate="print"/>
                    <a:stretch>
                      <a:fillRect/>
                    </a:stretch>
                  </pic:blipFill>
                  <pic:spPr>
                    <a:xfrm>
                      <a:off x="0" y="0"/>
                      <a:ext cx="5486400" cy="2686685"/>
                    </a:xfrm>
                    <a:prstGeom prst="rect">
                      <a:avLst/>
                    </a:prstGeom>
                  </pic:spPr>
                </pic:pic>
              </a:graphicData>
            </a:graphic>
          </wp:inline>
        </w:drawing>
      </w:r>
    </w:p>
    <w:p w14:paraId="30FF808D">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选择“北京市东城区市场监督管理局”（申请单位所属区级审核部门可参考</w:t>
      </w:r>
      <w:r>
        <w:rPr>
          <w:rFonts w:ascii="仿宋_GB2312" w:eastAsia="仿宋_GB2312"/>
          <w:sz w:val="32"/>
          <w:szCs w:val="32"/>
        </w:rPr>
        <w:t>表</w:t>
      </w:r>
      <w:r>
        <w:rPr>
          <w:rFonts w:hint="eastAsia" w:ascii="仿宋_GB2312" w:eastAsia="仿宋_GB2312"/>
          <w:sz w:val="32"/>
          <w:szCs w:val="32"/>
        </w:rPr>
        <w:t>1）。</w:t>
      </w:r>
    </w:p>
    <w:p w14:paraId="55B931BB">
      <w:pPr>
        <w:ind w:firstLine="640"/>
        <w:rPr>
          <w:rFonts w:ascii="仿宋_GB2312" w:eastAsia="仿宋_GB2312"/>
          <w:sz w:val="32"/>
          <w:szCs w:val="32"/>
        </w:rPr>
      </w:pPr>
      <w:r>
        <w:drawing>
          <wp:inline distT="0" distB="0" distL="0" distR="0">
            <wp:extent cx="5486400" cy="28098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8" cstate="print"/>
                    <a:stretch>
                      <a:fillRect/>
                    </a:stretch>
                  </pic:blipFill>
                  <pic:spPr>
                    <a:xfrm>
                      <a:off x="0" y="0"/>
                      <a:ext cx="5486400" cy="2809875"/>
                    </a:xfrm>
                    <a:prstGeom prst="rect">
                      <a:avLst/>
                    </a:prstGeom>
                  </pic:spPr>
                </pic:pic>
              </a:graphicData>
            </a:graphic>
          </wp:inline>
        </w:drawing>
      </w:r>
    </w:p>
    <w:p w14:paraId="5F73832E">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5.</w:t>
      </w:r>
      <w:r>
        <w:rPr>
          <w:rFonts w:hint="eastAsia" w:ascii="仿宋_GB2312" w:eastAsia="仿宋_GB2312"/>
          <w:sz w:val="32"/>
          <w:szCs w:val="32"/>
        </w:rPr>
        <w:t>将屏幕左下方“全部类型”，选变为“公共服务”。</w:t>
      </w:r>
    </w:p>
    <w:p w14:paraId="42222647">
      <w:pPr>
        <w:ind w:firstLine="640"/>
        <w:rPr>
          <w:rFonts w:ascii="仿宋_GB2312" w:eastAsia="仿宋_GB2312"/>
          <w:sz w:val="32"/>
          <w:szCs w:val="32"/>
        </w:rPr>
      </w:pPr>
      <w:r>
        <w:drawing>
          <wp:inline distT="0" distB="0" distL="0" distR="0">
            <wp:extent cx="5486400" cy="2703195"/>
            <wp:effectExtent l="0" t="0" r="0" b="190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9" cstate="print"/>
                    <a:stretch>
                      <a:fillRect/>
                    </a:stretch>
                  </pic:blipFill>
                  <pic:spPr>
                    <a:xfrm>
                      <a:off x="0" y="0"/>
                      <a:ext cx="5486400" cy="2703195"/>
                    </a:xfrm>
                    <a:prstGeom prst="rect">
                      <a:avLst/>
                    </a:prstGeom>
                  </pic:spPr>
                </pic:pic>
              </a:graphicData>
            </a:graphic>
          </wp:inline>
        </w:drawing>
      </w:r>
    </w:p>
    <w:p w14:paraId="69723DF1">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6.</w:t>
      </w:r>
      <w:r>
        <w:rPr>
          <w:rFonts w:hint="eastAsia" w:ascii="仿宋_GB2312" w:eastAsia="仿宋_GB2312"/>
          <w:sz w:val="32"/>
          <w:szCs w:val="32"/>
        </w:rPr>
        <w:t>在公共服务类事项“知识产权维权援助”中选择“海外知识产权维权援助”，单击事项跳转后点击“网上办理”，或</w:t>
      </w:r>
      <w:r>
        <w:rPr>
          <w:rFonts w:ascii="仿宋_GB2312" w:eastAsia="仿宋_GB2312"/>
          <w:sz w:val="32"/>
          <w:szCs w:val="32"/>
        </w:rPr>
        <w:t>直接点击</w:t>
      </w:r>
      <w:r>
        <w:rPr>
          <w:rFonts w:hint="eastAsia" w:ascii="仿宋_GB2312" w:eastAsia="仿宋_GB2312"/>
          <w:sz w:val="32"/>
          <w:szCs w:val="32"/>
        </w:rPr>
        <w:t>右侧“网上办理”。</w:t>
      </w:r>
    </w:p>
    <w:p w14:paraId="00BD0F56">
      <w:pPr>
        <w:ind w:firstLine="640"/>
        <w:rPr>
          <w:rFonts w:ascii="仿宋_GB2312" w:eastAsia="仿宋_GB2312"/>
          <w:sz w:val="32"/>
          <w:szCs w:val="32"/>
        </w:rPr>
      </w:pPr>
      <w:r>
        <w:drawing>
          <wp:inline distT="0" distB="0" distL="0" distR="0">
            <wp:extent cx="5486400" cy="2774950"/>
            <wp:effectExtent l="0" t="0" r="0" b="635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0" cstate="print"/>
                    <a:stretch>
                      <a:fillRect/>
                    </a:stretch>
                  </pic:blipFill>
                  <pic:spPr>
                    <a:xfrm>
                      <a:off x="0" y="0"/>
                      <a:ext cx="5486400" cy="2774950"/>
                    </a:xfrm>
                    <a:prstGeom prst="rect">
                      <a:avLst/>
                    </a:prstGeom>
                  </pic:spPr>
                </pic:pic>
              </a:graphicData>
            </a:graphic>
          </wp:inline>
        </w:drawing>
      </w:r>
    </w:p>
    <w:p w14:paraId="6FB497AD">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7.</w:t>
      </w:r>
      <w:r>
        <w:rPr>
          <w:rFonts w:hint="eastAsia" w:ascii="仿宋_GB2312" w:eastAsia="仿宋_GB2312"/>
          <w:sz w:val="32"/>
          <w:szCs w:val="32"/>
        </w:rPr>
        <w:t>页面跳转后点击“网上办理”，</w:t>
      </w:r>
      <w:r>
        <w:rPr>
          <w:rFonts w:ascii="仿宋_GB2312" w:eastAsia="仿宋_GB2312"/>
          <w:sz w:val="32"/>
          <w:szCs w:val="32"/>
        </w:rPr>
        <w:t>或在步骤</w:t>
      </w:r>
      <w:r>
        <w:rPr>
          <w:rFonts w:hint="eastAsia" w:ascii="仿宋_GB2312" w:eastAsia="仿宋_GB2312"/>
          <w:sz w:val="32"/>
          <w:szCs w:val="32"/>
        </w:rPr>
        <w:t>6中</w:t>
      </w:r>
      <w:r>
        <w:rPr>
          <w:rFonts w:ascii="仿宋_GB2312" w:eastAsia="仿宋_GB2312"/>
          <w:sz w:val="32"/>
          <w:szCs w:val="32"/>
        </w:rPr>
        <w:t>直接点击</w:t>
      </w:r>
      <w:r>
        <w:rPr>
          <w:rFonts w:hint="eastAsia" w:ascii="仿宋_GB2312" w:eastAsia="仿宋_GB2312"/>
          <w:sz w:val="32"/>
          <w:szCs w:val="32"/>
        </w:rPr>
        <w:t>“网上办理”。</w:t>
      </w:r>
    </w:p>
    <w:p w14:paraId="76202607">
      <w:pPr>
        <w:ind w:firstLine="640"/>
        <w:rPr>
          <w:rFonts w:ascii="仿宋_GB2312" w:eastAsia="仿宋_GB2312"/>
          <w:sz w:val="32"/>
          <w:szCs w:val="32"/>
        </w:rPr>
      </w:pPr>
      <w:r>
        <w:drawing>
          <wp:inline distT="0" distB="0" distL="0" distR="0">
            <wp:extent cx="5486400" cy="283908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1" cstate="print"/>
                    <a:stretch>
                      <a:fillRect/>
                    </a:stretch>
                  </pic:blipFill>
                  <pic:spPr>
                    <a:xfrm>
                      <a:off x="0" y="0"/>
                      <a:ext cx="5486400" cy="2839085"/>
                    </a:xfrm>
                    <a:prstGeom prst="rect">
                      <a:avLst/>
                    </a:prstGeom>
                  </pic:spPr>
                </pic:pic>
              </a:graphicData>
            </a:graphic>
          </wp:inline>
        </w:drawing>
      </w:r>
    </w:p>
    <w:p w14:paraId="6112B315">
      <w:pPr>
        <w:adjustRightInd w:val="0"/>
        <w:snapToGrid w:val="0"/>
        <w:spacing w:beforeLines="100" w:line="360" w:lineRule="auto"/>
        <w:ind w:firstLine="640" w:firstLineChars="200"/>
        <w:jc w:val="left"/>
        <w:rPr>
          <w:rFonts w:ascii="仿宋_GB2312" w:eastAsia="仿宋_GB2312"/>
          <w:sz w:val="32"/>
          <w:szCs w:val="32"/>
        </w:rPr>
      </w:pPr>
      <w:r>
        <w:rPr>
          <w:rFonts w:ascii="仿宋_GB2312" w:eastAsia="仿宋_GB2312"/>
          <w:sz w:val="32"/>
          <w:szCs w:val="32"/>
        </w:rPr>
        <w:t>8.</w:t>
      </w:r>
      <w:r>
        <w:rPr>
          <w:rFonts w:hint="eastAsia" w:ascii="仿宋_GB2312" w:eastAsia="仿宋_GB2312"/>
          <w:sz w:val="32"/>
          <w:szCs w:val="32"/>
        </w:rPr>
        <w:t>跳转页面后登陆办理，插入北京法人一证通，输入密码，点击“登录”。</w:t>
      </w:r>
    </w:p>
    <w:p w14:paraId="00D9638F">
      <w:pPr>
        <w:ind w:firstLine="640"/>
        <w:rPr>
          <w:rFonts w:ascii="仿宋_GB2312" w:eastAsia="仿宋_GB2312"/>
          <w:sz w:val="32"/>
          <w:szCs w:val="32"/>
        </w:rPr>
      </w:pPr>
      <w:r>
        <w:drawing>
          <wp:inline distT="0" distB="0" distL="0" distR="0">
            <wp:extent cx="5486400" cy="28765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2" cstate="print"/>
                    <a:stretch>
                      <a:fillRect/>
                    </a:stretch>
                  </pic:blipFill>
                  <pic:spPr>
                    <a:xfrm>
                      <a:off x="0" y="0"/>
                      <a:ext cx="5486400" cy="2876550"/>
                    </a:xfrm>
                    <a:prstGeom prst="rect">
                      <a:avLst/>
                    </a:prstGeom>
                  </pic:spPr>
                </pic:pic>
              </a:graphicData>
            </a:graphic>
          </wp:inline>
        </w:drawing>
      </w:r>
    </w:p>
    <w:p w14:paraId="0699A815">
      <w:pPr>
        <w:ind w:firstLine="640"/>
        <w:rPr>
          <w:rFonts w:ascii="仿宋_GB2312" w:eastAsia="仿宋_GB2312"/>
          <w:sz w:val="32"/>
          <w:szCs w:val="32"/>
        </w:rPr>
      </w:pPr>
    </w:p>
    <w:p w14:paraId="09A81706">
      <w:pPr>
        <w:adjustRightInd w:val="0"/>
        <w:snapToGrid w:val="0"/>
        <w:spacing w:line="560" w:lineRule="exact"/>
        <w:ind w:firstLine="640" w:firstLineChars="200"/>
        <w:rPr>
          <w:rFonts w:ascii="仿宋_GB2312" w:eastAsia="仿宋_GB2312"/>
          <w:sz w:val="32"/>
          <w:szCs w:val="32"/>
        </w:rPr>
      </w:pPr>
    </w:p>
    <w:sectPr>
      <w:footerReference r:id="rId3" w:type="default"/>
      <w:pgSz w:w="11906" w:h="16838"/>
      <w:pgMar w:top="1531" w:right="1531" w:bottom="1531" w:left="153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64265"/>
    </w:sdtPr>
    <w:sdtContent>
      <w:p w14:paraId="063C0CEE">
        <w:pPr>
          <w:pStyle w:val="10"/>
          <w:ind w:firstLine="360"/>
          <w:jc w:val="center"/>
        </w:pPr>
        <w:r>
          <w:rPr>
            <w:rFonts w:ascii="宋体" w:hAnsi="宋体"/>
            <w:sz w:val="24"/>
            <w:szCs w:val="24"/>
          </w:rPr>
          <w:fldChar w:fldCharType="begin"/>
        </w:r>
        <w:r>
          <w:rPr>
            <w:rFonts w:ascii="宋体" w:hAnsi="宋体"/>
            <w:sz w:val="24"/>
            <w:szCs w:val="24"/>
          </w:rPr>
          <w:instrText xml:space="preserve"> PAGE   \* MERGEFORMAT </w:instrText>
        </w:r>
        <w:r>
          <w:rPr>
            <w:rFonts w:ascii="宋体" w:hAnsi="宋体"/>
            <w:sz w:val="24"/>
            <w:szCs w:val="24"/>
          </w:rPr>
          <w:fldChar w:fldCharType="separate"/>
        </w:r>
        <w:r>
          <w:rPr>
            <w:rFonts w:ascii="宋体" w:hAnsi="宋体"/>
            <w:sz w:val="24"/>
            <w:szCs w:val="24"/>
            <w:lang w:val="zh-CN"/>
          </w:rPr>
          <w:t>-</w:t>
        </w:r>
        <w:r>
          <w:rPr>
            <w:rFonts w:ascii="宋体" w:hAnsi="宋体"/>
            <w:sz w:val="24"/>
            <w:szCs w:val="24"/>
          </w:rPr>
          <w:t xml:space="preserve"> 2 -</w:t>
        </w:r>
        <w:r>
          <w:rPr>
            <w:rFonts w:ascii="宋体" w:hAnsi="宋体"/>
            <w:sz w:val="24"/>
            <w:szCs w:val="24"/>
          </w:rPr>
          <w:fldChar w:fldCharType="end"/>
        </w:r>
      </w:p>
    </w:sdtContent>
  </w:sdt>
  <w:p w14:paraId="6AB8ACB6"/>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zYmMxNDk2MDY5N2Q1OTYyZDhmMDZkZDAzZmI1YzcifQ=="/>
  </w:docVars>
  <w:rsids>
    <w:rsidRoot w:val="007A6BA7"/>
    <w:rsid w:val="00001B8A"/>
    <w:rsid w:val="0001313E"/>
    <w:rsid w:val="000353C8"/>
    <w:rsid w:val="00057A9E"/>
    <w:rsid w:val="00060823"/>
    <w:rsid w:val="00060B38"/>
    <w:rsid w:val="00060DFD"/>
    <w:rsid w:val="00061EF9"/>
    <w:rsid w:val="00065836"/>
    <w:rsid w:val="00072776"/>
    <w:rsid w:val="000844CA"/>
    <w:rsid w:val="00085FD3"/>
    <w:rsid w:val="00091793"/>
    <w:rsid w:val="000A52DC"/>
    <w:rsid w:val="000B5B0B"/>
    <w:rsid w:val="000C04C6"/>
    <w:rsid w:val="000C0AE2"/>
    <w:rsid w:val="000C45CD"/>
    <w:rsid w:val="000C7A2A"/>
    <w:rsid w:val="000D05A4"/>
    <w:rsid w:val="000D63DB"/>
    <w:rsid w:val="000D6828"/>
    <w:rsid w:val="000E67B2"/>
    <w:rsid w:val="000F1613"/>
    <w:rsid w:val="000F63A7"/>
    <w:rsid w:val="001012BB"/>
    <w:rsid w:val="00113D20"/>
    <w:rsid w:val="00115863"/>
    <w:rsid w:val="00123464"/>
    <w:rsid w:val="00131C0E"/>
    <w:rsid w:val="0013520D"/>
    <w:rsid w:val="00135F0E"/>
    <w:rsid w:val="001402B7"/>
    <w:rsid w:val="00142195"/>
    <w:rsid w:val="00142EF5"/>
    <w:rsid w:val="00143966"/>
    <w:rsid w:val="001527BA"/>
    <w:rsid w:val="00161DD1"/>
    <w:rsid w:val="00174995"/>
    <w:rsid w:val="0018446D"/>
    <w:rsid w:val="00193F9B"/>
    <w:rsid w:val="0019502C"/>
    <w:rsid w:val="001963B0"/>
    <w:rsid w:val="00197B5C"/>
    <w:rsid w:val="001B60C0"/>
    <w:rsid w:val="001C3DDE"/>
    <w:rsid w:val="001D662B"/>
    <w:rsid w:val="001E3971"/>
    <w:rsid w:val="001E6827"/>
    <w:rsid w:val="00202722"/>
    <w:rsid w:val="00207B2B"/>
    <w:rsid w:val="00211730"/>
    <w:rsid w:val="002126ED"/>
    <w:rsid w:val="00212BBC"/>
    <w:rsid w:val="002162C4"/>
    <w:rsid w:val="0021674A"/>
    <w:rsid w:val="00220BC7"/>
    <w:rsid w:val="00222065"/>
    <w:rsid w:val="0022494A"/>
    <w:rsid w:val="002363B9"/>
    <w:rsid w:val="002502AC"/>
    <w:rsid w:val="00252129"/>
    <w:rsid w:val="00265A3B"/>
    <w:rsid w:val="00267C4C"/>
    <w:rsid w:val="00272E5C"/>
    <w:rsid w:val="002755DA"/>
    <w:rsid w:val="00276166"/>
    <w:rsid w:val="0027666F"/>
    <w:rsid w:val="00276A5B"/>
    <w:rsid w:val="00281626"/>
    <w:rsid w:val="002838FC"/>
    <w:rsid w:val="002930A0"/>
    <w:rsid w:val="00297692"/>
    <w:rsid w:val="002B0F09"/>
    <w:rsid w:val="002B3F13"/>
    <w:rsid w:val="002B66C5"/>
    <w:rsid w:val="002B7524"/>
    <w:rsid w:val="002B7F9C"/>
    <w:rsid w:val="002C1494"/>
    <w:rsid w:val="002C1BC0"/>
    <w:rsid w:val="002D2831"/>
    <w:rsid w:val="002E0AA5"/>
    <w:rsid w:val="002E457E"/>
    <w:rsid w:val="002E4E57"/>
    <w:rsid w:val="002F08CA"/>
    <w:rsid w:val="00303F93"/>
    <w:rsid w:val="00305294"/>
    <w:rsid w:val="00311592"/>
    <w:rsid w:val="00312B2D"/>
    <w:rsid w:val="00314B88"/>
    <w:rsid w:val="00315D63"/>
    <w:rsid w:val="00337B48"/>
    <w:rsid w:val="00343210"/>
    <w:rsid w:val="00343538"/>
    <w:rsid w:val="0034558E"/>
    <w:rsid w:val="00355240"/>
    <w:rsid w:val="00357F34"/>
    <w:rsid w:val="0036753A"/>
    <w:rsid w:val="00375578"/>
    <w:rsid w:val="00375783"/>
    <w:rsid w:val="00375C3E"/>
    <w:rsid w:val="00381847"/>
    <w:rsid w:val="00382256"/>
    <w:rsid w:val="00383694"/>
    <w:rsid w:val="00386467"/>
    <w:rsid w:val="00390553"/>
    <w:rsid w:val="00390A19"/>
    <w:rsid w:val="00391B62"/>
    <w:rsid w:val="00393048"/>
    <w:rsid w:val="00395597"/>
    <w:rsid w:val="003A325D"/>
    <w:rsid w:val="003A3DB3"/>
    <w:rsid w:val="003A477F"/>
    <w:rsid w:val="003A4823"/>
    <w:rsid w:val="003A68BD"/>
    <w:rsid w:val="003B2A73"/>
    <w:rsid w:val="003B73CE"/>
    <w:rsid w:val="003D5EED"/>
    <w:rsid w:val="003E157E"/>
    <w:rsid w:val="003E4338"/>
    <w:rsid w:val="003E52BD"/>
    <w:rsid w:val="003E6ACA"/>
    <w:rsid w:val="003F037B"/>
    <w:rsid w:val="003F0A35"/>
    <w:rsid w:val="003F48EF"/>
    <w:rsid w:val="004040DE"/>
    <w:rsid w:val="004059BA"/>
    <w:rsid w:val="00407E62"/>
    <w:rsid w:val="0041069F"/>
    <w:rsid w:val="00414804"/>
    <w:rsid w:val="00420804"/>
    <w:rsid w:val="00423600"/>
    <w:rsid w:val="0042629D"/>
    <w:rsid w:val="00427532"/>
    <w:rsid w:val="00431CB4"/>
    <w:rsid w:val="004344D6"/>
    <w:rsid w:val="004442AE"/>
    <w:rsid w:val="00445205"/>
    <w:rsid w:val="00451B6B"/>
    <w:rsid w:val="00451FD2"/>
    <w:rsid w:val="00452AAD"/>
    <w:rsid w:val="004539CE"/>
    <w:rsid w:val="00455034"/>
    <w:rsid w:val="00464F5E"/>
    <w:rsid w:val="00465D51"/>
    <w:rsid w:val="00475C4D"/>
    <w:rsid w:val="004779F5"/>
    <w:rsid w:val="00477B6F"/>
    <w:rsid w:val="00487ABD"/>
    <w:rsid w:val="004B1B2E"/>
    <w:rsid w:val="004B780C"/>
    <w:rsid w:val="004C1808"/>
    <w:rsid w:val="004D22E6"/>
    <w:rsid w:val="004F1B44"/>
    <w:rsid w:val="004F51DA"/>
    <w:rsid w:val="004F5EE3"/>
    <w:rsid w:val="00517062"/>
    <w:rsid w:val="0051764A"/>
    <w:rsid w:val="005204CA"/>
    <w:rsid w:val="00521457"/>
    <w:rsid w:val="00522505"/>
    <w:rsid w:val="005407B7"/>
    <w:rsid w:val="00541494"/>
    <w:rsid w:val="00547E12"/>
    <w:rsid w:val="00550EAC"/>
    <w:rsid w:val="0055323F"/>
    <w:rsid w:val="0055357E"/>
    <w:rsid w:val="0055446B"/>
    <w:rsid w:val="005607BF"/>
    <w:rsid w:val="00560F43"/>
    <w:rsid w:val="005635F3"/>
    <w:rsid w:val="00566624"/>
    <w:rsid w:val="00571724"/>
    <w:rsid w:val="00574A6A"/>
    <w:rsid w:val="00575297"/>
    <w:rsid w:val="00575A86"/>
    <w:rsid w:val="00576AE5"/>
    <w:rsid w:val="005802FE"/>
    <w:rsid w:val="005812AA"/>
    <w:rsid w:val="00585AC7"/>
    <w:rsid w:val="0058652B"/>
    <w:rsid w:val="00586B36"/>
    <w:rsid w:val="005932DF"/>
    <w:rsid w:val="005A48C6"/>
    <w:rsid w:val="005C232F"/>
    <w:rsid w:val="005D04D0"/>
    <w:rsid w:val="005D23CB"/>
    <w:rsid w:val="005E6B31"/>
    <w:rsid w:val="005E6F65"/>
    <w:rsid w:val="005F0B42"/>
    <w:rsid w:val="005F0D29"/>
    <w:rsid w:val="005F35F3"/>
    <w:rsid w:val="005F561C"/>
    <w:rsid w:val="005F7287"/>
    <w:rsid w:val="005F7EF5"/>
    <w:rsid w:val="0060290C"/>
    <w:rsid w:val="00605754"/>
    <w:rsid w:val="00605BEE"/>
    <w:rsid w:val="00621A03"/>
    <w:rsid w:val="0063555C"/>
    <w:rsid w:val="0063642D"/>
    <w:rsid w:val="00646297"/>
    <w:rsid w:val="00647508"/>
    <w:rsid w:val="006561BB"/>
    <w:rsid w:val="00671CC4"/>
    <w:rsid w:val="00672D95"/>
    <w:rsid w:val="006803F4"/>
    <w:rsid w:val="00682ECD"/>
    <w:rsid w:val="00691A8F"/>
    <w:rsid w:val="00692CC0"/>
    <w:rsid w:val="006969BB"/>
    <w:rsid w:val="006A12EC"/>
    <w:rsid w:val="006A34F2"/>
    <w:rsid w:val="006A66CB"/>
    <w:rsid w:val="006B1A0B"/>
    <w:rsid w:val="006B1D28"/>
    <w:rsid w:val="006B64F0"/>
    <w:rsid w:val="006C50A8"/>
    <w:rsid w:val="006D19D0"/>
    <w:rsid w:val="006D3938"/>
    <w:rsid w:val="006F1CB8"/>
    <w:rsid w:val="006F6FB6"/>
    <w:rsid w:val="00700C74"/>
    <w:rsid w:val="00702B85"/>
    <w:rsid w:val="00702F7B"/>
    <w:rsid w:val="007153A9"/>
    <w:rsid w:val="00715BCA"/>
    <w:rsid w:val="007216C9"/>
    <w:rsid w:val="0072254F"/>
    <w:rsid w:val="00723981"/>
    <w:rsid w:val="007267FE"/>
    <w:rsid w:val="0072716C"/>
    <w:rsid w:val="00727396"/>
    <w:rsid w:val="00727F31"/>
    <w:rsid w:val="00740B66"/>
    <w:rsid w:val="0074385D"/>
    <w:rsid w:val="0074483B"/>
    <w:rsid w:val="00750614"/>
    <w:rsid w:val="00750F77"/>
    <w:rsid w:val="00753B1E"/>
    <w:rsid w:val="00755EC7"/>
    <w:rsid w:val="00756F68"/>
    <w:rsid w:val="007639C7"/>
    <w:rsid w:val="00765F50"/>
    <w:rsid w:val="007828D6"/>
    <w:rsid w:val="00782BF2"/>
    <w:rsid w:val="00783B80"/>
    <w:rsid w:val="007A5743"/>
    <w:rsid w:val="007A6BA7"/>
    <w:rsid w:val="007B49EB"/>
    <w:rsid w:val="007B617C"/>
    <w:rsid w:val="007D1FE7"/>
    <w:rsid w:val="007E6A87"/>
    <w:rsid w:val="007F13A5"/>
    <w:rsid w:val="007F46E7"/>
    <w:rsid w:val="007F4827"/>
    <w:rsid w:val="00805BA3"/>
    <w:rsid w:val="00814299"/>
    <w:rsid w:val="00814CD1"/>
    <w:rsid w:val="00815003"/>
    <w:rsid w:val="00815FA1"/>
    <w:rsid w:val="00821AB4"/>
    <w:rsid w:val="00831B19"/>
    <w:rsid w:val="00832551"/>
    <w:rsid w:val="00837C66"/>
    <w:rsid w:val="008541E1"/>
    <w:rsid w:val="008566E1"/>
    <w:rsid w:val="00856734"/>
    <w:rsid w:val="008667FE"/>
    <w:rsid w:val="00867B9B"/>
    <w:rsid w:val="008820FE"/>
    <w:rsid w:val="00884E70"/>
    <w:rsid w:val="008850D5"/>
    <w:rsid w:val="00885F7D"/>
    <w:rsid w:val="0088772D"/>
    <w:rsid w:val="0089448F"/>
    <w:rsid w:val="00897944"/>
    <w:rsid w:val="008A2D6F"/>
    <w:rsid w:val="008A3549"/>
    <w:rsid w:val="008B70B9"/>
    <w:rsid w:val="008C4DD4"/>
    <w:rsid w:val="008D0CEE"/>
    <w:rsid w:val="008F2B64"/>
    <w:rsid w:val="00900167"/>
    <w:rsid w:val="00901C13"/>
    <w:rsid w:val="00905540"/>
    <w:rsid w:val="00906928"/>
    <w:rsid w:val="00911E87"/>
    <w:rsid w:val="00914F46"/>
    <w:rsid w:val="009457BD"/>
    <w:rsid w:val="00946458"/>
    <w:rsid w:val="00951F09"/>
    <w:rsid w:val="00955CFF"/>
    <w:rsid w:val="009634DF"/>
    <w:rsid w:val="00974A41"/>
    <w:rsid w:val="0097649D"/>
    <w:rsid w:val="00981F2D"/>
    <w:rsid w:val="00986EAC"/>
    <w:rsid w:val="0099233F"/>
    <w:rsid w:val="00993159"/>
    <w:rsid w:val="009966D9"/>
    <w:rsid w:val="009A54E5"/>
    <w:rsid w:val="009B3886"/>
    <w:rsid w:val="009B626B"/>
    <w:rsid w:val="009E554A"/>
    <w:rsid w:val="009E6E2B"/>
    <w:rsid w:val="009F3A1D"/>
    <w:rsid w:val="009F76EA"/>
    <w:rsid w:val="00A007DA"/>
    <w:rsid w:val="00A07A59"/>
    <w:rsid w:val="00A17871"/>
    <w:rsid w:val="00A228BA"/>
    <w:rsid w:val="00A26D67"/>
    <w:rsid w:val="00A2748B"/>
    <w:rsid w:val="00A31249"/>
    <w:rsid w:val="00A37078"/>
    <w:rsid w:val="00A44B83"/>
    <w:rsid w:val="00A45504"/>
    <w:rsid w:val="00A45744"/>
    <w:rsid w:val="00A46388"/>
    <w:rsid w:val="00A51C9D"/>
    <w:rsid w:val="00A51FB0"/>
    <w:rsid w:val="00A56A06"/>
    <w:rsid w:val="00A61476"/>
    <w:rsid w:val="00A65D1D"/>
    <w:rsid w:val="00A67BF2"/>
    <w:rsid w:val="00A74006"/>
    <w:rsid w:val="00A74B40"/>
    <w:rsid w:val="00A81184"/>
    <w:rsid w:val="00A83D2F"/>
    <w:rsid w:val="00AA0D9E"/>
    <w:rsid w:val="00AA22B3"/>
    <w:rsid w:val="00AA26F6"/>
    <w:rsid w:val="00AA2D7C"/>
    <w:rsid w:val="00AA5A36"/>
    <w:rsid w:val="00AA6BF7"/>
    <w:rsid w:val="00AA7F1E"/>
    <w:rsid w:val="00AB12F2"/>
    <w:rsid w:val="00AB6905"/>
    <w:rsid w:val="00AC014D"/>
    <w:rsid w:val="00AC0934"/>
    <w:rsid w:val="00AD4354"/>
    <w:rsid w:val="00AD4975"/>
    <w:rsid w:val="00AD7997"/>
    <w:rsid w:val="00AE20AF"/>
    <w:rsid w:val="00AF0CC6"/>
    <w:rsid w:val="00AF254F"/>
    <w:rsid w:val="00B05BA1"/>
    <w:rsid w:val="00B14298"/>
    <w:rsid w:val="00B17800"/>
    <w:rsid w:val="00B22357"/>
    <w:rsid w:val="00B25007"/>
    <w:rsid w:val="00B27352"/>
    <w:rsid w:val="00B372CB"/>
    <w:rsid w:val="00B41FD1"/>
    <w:rsid w:val="00B4545A"/>
    <w:rsid w:val="00B458FC"/>
    <w:rsid w:val="00B473D4"/>
    <w:rsid w:val="00B66188"/>
    <w:rsid w:val="00B67B0F"/>
    <w:rsid w:val="00B7353A"/>
    <w:rsid w:val="00B750E0"/>
    <w:rsid w:val="00B83394"/>
    <w:rsid w:val="00B9396C"/>
    <w:rsid w:val="00B97568"/>
    <w:rsid w:val="00BA02D6"/>
    <w:rsid w:val="00BA0BA8"/>
    <w:rsid w:val="00BA3535"/>
    <w:rsid w:val="00BB1A57"/>
    <w:rsid w:val="00BB1D95"/>
    <w:rsid w:val="00BB6787"/>
    <w:rsid w:val="00BB6971"/>
    <w:rsid w:val="00BC35CF"/>
    <w:rsid w:val="00BD1872"/>
    <w:rsid w:val="00BD5DD6"/>
    <w:rsid w:val="00BE30CE"/>
    <w:rsid w:val="00BE3D22"/>
    <w:rsid w:val="00BE50AB"/>
    <w:rsid w:val="00BF6BB2"/>
    <w:rsid w:val="00BF73A4"/>
    <w:rsid w:val="00C03391"/>
    <w:rsid w:val="00C124AF"/>
    <w:rsid w:val="00C24DD8"/>
    <w:rsid w:val="00C274D6"/>
    <w:rsid w:val="00C3246A"/>
    <w:rsid w:val="00C32AD5"/>
    <w:rsid w:val="00C33B2D"/>
    <w:rsid w:val="00C34A3A"/>
    <w:rsid w:val="00C356F7"/>
    <w:rsid w:val="00C41375"/>
    <w:rsid w:val="00C47173"/>
    <w:rsid w:val="00C47A5D"/>
    <w:rsid w:val="00C62DF8"/>
    <w:rsid w:val="00C654FC"/>
    <w:rsid w:val="00C660B6"/>
    <w:rsid w:val="00C7157E"/>
    <w:rsid w:val="00C77D2D"/>
    <w:rsid w:val="00C821AE"/>
    <w:rsid w:val="00C82CC7"/>
    <w:rsid w:val="00C82E8F"/>
    <w:rsid w:val="00C908B1"/>
    <w:rsid w:val="00C932A6"/>
    <w:rsid w:val="00C95A8A"/>
    <w:rsid w:val="00CA0778"/>
    <w:rsid w:val="00CA232F"/>
    <w:rsid w:val="00CA3654"/>
    <w:rsid w:val="00CA5A3C"/>
    <w:rsid w:val="00CB30B3"/>
    <w:rsid w:val="00CB416C"/>
    <w:rsid w:val="00CB4356"/>
    <w:rsid w:val="00CD3F82"/>
    <w:rsid w:val="00CE2C8C"/>
    <w:rsid w:val="00CE6BEA"/>
    <w:rsid w:val="00D057A4"/>
    <w:rsid w:val="00D100B9"/>
    <w:rsid w:val="00D10AF0"/>
    <w:rsid w:val="00D153AA"/>
    <w:rsid w:val="00D16BD8"/>
    <w:rsid w:val="00D21628"/>
    <w:rsid w:val="00D26633"/>
    <w:rsid w:val="00D32B20"/>
    <w:rsid w:val="00D43E32"/>
    <w:rsid w:val="00D458E8"/>
    <w:rsid w:val="00D463D4"/>
    <w:rsid w:val="00D47437"/>
    <w:rsid w:val="00D514C5"/>
    <w:rsid w:val="00D54DC4"/>
    <w:rsid w:val="00D57A9E"/>
    <w:rsid w:val="00D656F6"/>
    <w:rsid w:val="00D65F17"/>
    <w:rsid w:val="00D6669B"/>
    <w:rsid w:val="00D80ED1"/>
    <w:rsid w:val="00D93C16"/>
    <w:rsid w:val="00D95F3D"/>
    <w:rsid w:val="00DB3359"/>
    <w:rsid w:val="00DB7DC1"/>
    <w:rsid w:val="00DB7FD3"/>
    <w:rsid w:val="00DC2032"/>
    <w:rsid w:val="00DC6AFF"/>
    <w:rsid w:val="00DD1879"/>
    <w:rsid w:val="00DD3244"/>
    <w:rsid w:val="00DE1354"/>
    <w:rsid w:val="00DE3244"/>
    <w:rsid w:val="00DE7D16"/>
    <w:rsid w:val="00DF195C"/>
    <w:rsid w:val="00DF7495"/>
    <w:rsid w:val="00E00ED1"/>
    <w:rsid w:val="00E018FF"/>
    <w:rsid w:val="00E03657"/>
    <w:rsid w:val="00E0495B"/>
    <w:rsid w:val="00E0703F"/>
    <w:rsid w:val="00E104A5"/>
    <w:rsid w:val="00E1360C"/>
    <w:rsid w:val="00E14EEB"/>
    <w:rsid w:val="00E155EE"/>
    <w:rsid w:val="00E15934"/>
    <w:rsid w:val="00E17E21"/>
    <w:rsid w:val="00E17FFC"/>
    <w:rsid w:val="00E21336"/>
    <w:rsid w:val="00E253D7"/>
    <w:rsid w:val="00E26828"/>
    <w:rsid w:val="00E319C9"/>
    <w:rsid w:val="00E37B55"/>
    <w:rsid w:val="00E416F8"/>
    <w:rsid w:val="00E41BF1"/>
    <w:rsid w:val="00E50923"/>
    <w:rsid w:val="00E54B38"/>
    <w:rsid w:val="00E60E9A"/>
    <w:rsid w:val="00E722BF"/>
    <w:rsid w:val="00E7301D"/>
    <w:rsid w:val="00E750C3"/>
    <w:rsid w:val="00E80843"/>
    <w:rsid w:val="00E80FFB"/>
    <w:rsid w:val="00E81E69"/>
    <w:rsid w:val="00E830C9"/>
    <w:rsid w:val="00E876D6"/>
    <w:rsid w:val="00E9261C"/>
    <w:rsid w:val="00E92A0F"/>
    <w:rsid w:val="00E97373"/>
    <w:rsid w:val="00EA571B"/>
    <w:rsid w:val="00EA7BB6"/>
    <w:rsid w:val="00EA7C8A"/>
    <w:rsid w:val="00EB4429"/>
    <w:rsid w:val="00EB519E"/>
    <w:rsid w:val="00EB5F8F"/>
    <w:rsid w:val="00EC4F74"/>
    <w:rsid w:val="00EE64A6"/>
    <w:rsid w:val="00EE7641"/>
    <w:rsid w:val="00F00677"/>
    <w:rsid w:val="00F06DA3"/>
    <w:rsid w:val="00F2223D"/>
    <w:rsid w:val="00F2354C"/>
    <w:rsid w:val="00F24350"/>
    <w:rsid w:val="00F36E26"/>
    <w:rsid w:val="00F37AC6"/>
    <w:rsid w:val="00F404B3"/>
    <w:rsid w:val="00F41217"/>
    <w:rsid w:val="00F43E57"/>
    <w:rsid w:val="00F45C1E"/>
    <w:rsid w:val="00F539F3"/>
    <w:rsid w:val="00F54DAE"/>
    <w:rsid w:val="00F55B28"/>
    <w:rsid w:val="00F638DC"/>
    <w:rsid w:val="00F667DD"/>
    <w:rsid w:val="00F74AB2"/>
    <w:rsid w:val="00F87287"/>
    <w:rsid w:val="00F875B7"/>
    <w:rsid w:val="00F94C3B"/>
    <w:rsid w:val="00F95C98"/>
    <w:rsid w:val="00FA1087"/>
    <w:rsid w:val="00FA49EF"/>
    <w:rsid w:val="00FB00FB"/>
    <w:rsid w:val="00FB122B"/>
    <w:rsid w:val="00FB2789"/>
    <w:rsid w:val="00FB2EA2"/>
    <w:rsid w:val="00FB32A1"/>
    <w:rsid w:val="00FB710A"/>
    <w:rsid w:val="00FC6CD4"/>
    <w:rsid w:val="00FD3A4A"/>
    <w:rsid w:val="00FD5B07"/>
    <w:rsid w:val="00FE2A47"/>
    <w:rsid w:val="00FF0496"/>
    <w:rsid w:val="00FF1252"/>
    <w:rsid w:val="00FF206C"/>
    <w:rsid w:val="00FF5ED9"/>
    <w:rsid w:val="00FF6D19"/>
    <w:rsid w:val="05D12169"/>
    <w:rsid w:val="061C3855"/>
    <w:rsid w:val="06A65BAB"/>
    <w:rsid w:val="06C5315A"/>
    <w:rsid w:val="0DBE0DD6"/>
    <w:rsid w:val="0F7605E9"/>
    <w:rsid w:val="10A07B14"/>
    <w:rsid w:val="154B17DC"/>
    <w:rsid w:val="1882366E"/>
    <w:rsid w:val="38680532"/>
    <w:rsid w:val="3B1F36BC"/>
    <w:rsid w:val="3BDE00E7"/>
    <w:rsid w:val="3C5A59E2"/>
    <w:rsid w:val="3EB158B9"/>
    <w:rsid w:val="3FA52BFA"/>
    <w:rsid w:val="406D033D"/>
    <w:rsid w:val="44364BF7"/>
    <w:rsid w:val="461E66C1"/>
    <w:rsid w:val="4B8063AA"/>
    <w:rsid w:val="4CEA5433"/>
    <w:rsid w:val="536B0AA5"/>
    <w:rsid w:val="5EB8792B"/>
    <w:rsid w:val="5EFA058B"/>
    <w:rsid w:val="5F0F596B"/>
    <w:rsid w:val="6B182F95"/>
    <w:rsid w:val="6D5D71E4"/>
    <w:rsid w:val="6E3B3B2D"/>
    <w:rsid w:val="76CE2E6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8"/>
    <w:autoRedefine/>
    <w:qFormat/>
    <w:uiPriority w:val="9"/>
    <w:pPr>
      <w:keepNext/>
      <w:keepLines/>
      <w:spacing w:before="340" w:after="330" w:line="578" w:lineRule="auto"/>
      <w:outlineLvl w:val="0"/>
    </w:pPr>
    <w:rPr>
      <w:rFonts w:eastAsia="仿宋_GB2312"/>
      <w:bCs/>
      <w:kern w:val="44"/>
      <w:sz w:val="30"/>
      <w:szCs w:val="44"/>
    </w:rPr>
  </w:style>
  <w:style w:type="paragraph" w:styleId="3">
    <w:name w:val="heading 3"/>
    <w:basedOn w:val="1"/>
    <w:next w:val="1"/>
    <w:link w:val="29"/>
    <w:autoRedefine/>
    <w:semiHidden/>
    <w:unhideWhenUsed/>
    <w:qFormat/>
    <w:uiPriority w:val="9"/>
    <w:pPr>
      <w:keepNext/>
      <w:keepLines/>
      <w:spacing w:before="260" w:after="26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autoRedefine/>
    <w:qFormat/>
    <w:uiPriority w:val="35"/>
    <w:rPr>
      <w:rFonts w:ascii="等线 Light" w:hAnsi="等线 Light" w:eastAsia="黑体"/>
      <w:sz w:val="20"/>
      <w:szCs w:val="20"/>
    </w:rPr>
  </w:style>
  <w:style w:type="paragraph" w:styleId="5">
    <w:name w:val="Document Map"/>
    <w:basedOn w:val="1"/>
    <w:link w:val="22"/>
    <w:autoRedefine/>
    <w:semiHidden/>
    <w:unhideWhenUsed/>
    <w:qFormat/>
    <w:uiPriority w:val="99"/>
    <w:rPr>
      <w:rFonts w:ascii="宋体"/>
      <w:kern w:val="0"/>
      <w:sz w:val="18"/>
      <w:szCs w:val="18"/>
    </w:rPr>
  </w:style>
  <w:style w:type="paragraph" w:styleId="6">
    <w:name w:val="annotation text"/>
    <w:basedOn w:val="1"/>
    <w:link w:val="26"/>
    <w:autoRedefine/>
    <w:unhideWhenUsed/>
    <w:qFormat/>
    <w:uiPriority w:val="0"/>
    <w:pPr>
      <w:jc w:val="left"/>
    </w:pPr>
  </w:style>
  <w:style w:type="paragraph" w:styleId="7">
    <w:name w:val="toc 3"/>
    <w:basedOn w:val="1"/>
    <w:next w:val="1"/>
    <w:autoRedefine/>
    <w:qFormat/>
    <w:uiPriority w:val="39"/>
    <w:pPr>
      <w:ind w:left="840" w:leftChars="400"/>
    </w:pPr>
    <w:rPr>
      <w:szCs w:val="24"/>
    </w:rPr>
  </w:style>
  <w:style w:type="paragraph" w:styleId="8">
    <w:name w:val="Date"/>
    <w:basedOn w:val="1"/>
    <w:next w:val="1"/>
    <w:link w:val="25"/>
    <w:autoRedefine/>
    <w:semiHidden/>
    <w:unhideWhenUsed/>
    <w:qFormat/>
    <w:uiPriority w:val="99"/>
    <w:pPr>
      <w:ind w:left="100" w:leftChars="2500"/>
    </w:pPr>
  </w:style>
  <w:style w:type="paragraph" w:styleId="9">
    <w:name w:val="Balloon Text"/>
    <w:basedOn w:val="1"/>
    <w:link w:val="27"/>
    <w:semiHidden/>
    <w:unhideWhenUsed/>
    <w:qFormat/>
    <w:uiPriority w:val="99"/>
    <w:rPr>
      <w:sz w:val="18"/>
      <w:szCs w:val="18"/>
    </w:rPr>
  </w:style>
  <w:style w:type="paragraph" w:styleId="10">
    <w:name w:val="footer"/>
    <w:basedOn w:val="1"/>
    <w:link w:val="24"/>
    <w:autoRedefine/>
    <w:unhideWhenUsed/>
    <w:qFormat/>
    <w:uiPriority w:val="99"/>
    <w:pPr>
      <w:tabs>
        <w:tab w:val="center" w:pos="4153"/>
        <w:tab w:val="right" w:pos="8306"/>
      </w:tabs>
      <w:snapToGrid w:val="0"/>
      <w:jc w:val="left"/>
    </w:pPr>
    <w:rPr>
      <w:sz w:val="18"/>
      <w:szCs w:val="18"/>
    </w:rPr>
  </w:style>
  <w:style w:type="paragraph" w:styleId="11">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qFormat/>
    <w:uiPriority w:val="39"/>
    <w:rPr>
      <w:rFonts w:ascii="Calibri" w:hAnsi="Calibri"/>
    </w:rPr>
  </w:style>
  <w:style w:type="paragraph" w:styleId="13">
    <w:name w:val="toc 2"/>
    <w:basedOn w:val="1"/>
    <w:next w:val="1"/>
    <w:autoRedefine/>
    <w:qFormat/>
    <w:uiPriority w:val="39"/>
    <w:pPr>
      <w:ind w:left="420" w:leftChars="200"/>
    </w:pPr>
    <w:rPr>
      <w:szCs w:val="24"/>
    </w:rPr>
  </w:style>
  <w:style w:type="paragraph" w:styleId="14">
    <w:name w:val="Normal (Web)"/>
    <w:basedOn w:val="1"/>
    <w:autoRedefine/>
    <w:unhideWhenUsed/>
    <w:qFormat/>
    <w:uiPriority w:val="99"/>
    <w:rPr>
      <w:sz w:val="24"/>
      <w:szCs w:val="24"/>
    </w:rPr>
  </w:style>
  <w:style w:type="table" w:styleId="16">
    <w:name w:val="Table Grid"/>
    <w:basedOn w:val="15"/>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8">
    <w:name w:val="FollowedHyperlink"/>
    <w:basedOn w:val="17"/>
    <w:autoRedefine/>
    <w:semiHidden/>
    <w:unhideWhenUsed/>
    <w:qFormat/>
    <w:uiPriority w:val="99"/>
    <w:rPr>
      <w:color w:val="800080" w:themeColor="followedHyperlink"/>
      <w:u w:val="single"/>
      <w14:textFill>
        <w14:solidFill>
          <w14:schemeClr w14:val="folHlink"/>
        </w14:solidFill>
      </w14:textFill>
    </w:rPr>
  </w:style>
  <w:style w:type="character" w:styleId="19">
    <w:name w:val="Emphasis"/>
    <w:autoRedefine/>
    <w:qFormat/>
    <w:uiPriority w:val="20"/>
    <w:rPr>
      <w:i/>
      <w:iCs/>
    </w:rPr>
  </w:style>
  <w:style w:type="character" w:styleId="20">
    <w:name w:val="Hyperlink"/>
    <w:autoRedefine/>
    <w:unhideWhenUsed/>
    <w:qFormat/>
    <w:uiPriority w:val="99"/>
    <w:rPr>
      <w:color w:val="0000FF"/>
      <w:u w:val="single"/>
    </w:rPr>
  </w:style>
  <w:style w:type="character" w:styleId="21">
    <w:name w:val="annotation reference"/>
    <w:autoRedefine/>
    <w:unhideWhenUsed/>
    <w:qFormat/>
    <w:uiPriority w:val="0"/>
    <w:rPr>
      <w:sz w:val="21"/>
      <w:szCs w:val="21"/>
    </w:rPr>
  </w:style>
  <w:style w:type="character" w:customStyle="1" w:styleId="22">
    <w:name w:val="文档结构图 Char"/>
    <w:link w:val="5"/>
    <w:autoRedefine/>
    <w:semiHidden/>
    <w:qFormat/>
    <w:uiPriority w:val="99"/>
    <w:rPr>
      <w:rFonts w:ascii="宋体" w:hAnsi="Times New Roman" w:eastAsia="宋体" w:cs="Times New Roman"/>
      <w:sz w:val="18"/>
      <w:szCs w:val="18"/>
    </w:rPr>
  </w:style>
  <w:style w:type="character" w:customStyle="1" w:styleId="23">
    <w:name w:val="页眉 Char"/>
    <w:link w:val="11"/>
    <w:autoRedefine/>
    <w:qFormat/>
    <w:uiPriority w:val="99"/>
    <w:rPr>
      <w:rFonts w:ascii="Times New Roman" w:hAnsi="Times New Roman"/>
      <w:kern w:val="2"/>
      <w:sz w:val="18"/>
      <w:szCs w:val="18"/>
    </w:rPr>
  </w:style>
  <w:style w:type="character" w:customStyle="1" w:styleId="24">
    <w:name w:val="页脚 Char"/>
    <w:link w:val="10"/>
    <w:autoRedefine/>
    <w:qFormat/>
    <w:uiPriority w:val="99"/>
    <w:rPr>
      <w:rFonts w:ascii="Times New Roman" w:hAnsi="Times New Roman"/>
      <w:kern w:val="2"/>
      <w:sz w:val="18"/>
      <w:szCs w:val="18"/>
    </w:rPr>
  </w:style>
  <w:style w:type="character" w:customStyle="1" w:styleId="25">
    <w:name w:val="日期 Char"/>
    <w:link w:val="8"/>
    <w:autoRedefine/>
    <w:semiHidden/>
    <w:qFormat/>
    <w:uiPriority w:val="99"/>
    <w:rPr>
      <w:rFonts w:ascii="Times New Roman" w:hAnsi="Times New Roman"/>
      <w:kern w:val="2"/>
      <w:sz w:val="21"/>
      <w:szCs w:val="22"/>
    </w:rPr>
  </w:style>
  <w:style w:type="character" w:customStyle="1" w:styleId="26">
    <w:name w:val="批注文字 Char"/>
    <w:link w:val="6"/>
    <w:autoRedefine/>
    <w:qFormat/>
    <w:uiPriority w:val="0"/>
    <w:rPr>
      <w:rFonts w:ascii="Times New Roman" w:hAnsi="Times New Roman"/>
      <w:kern w:val="2"/>
      <w:sz w:val="21"/>
      <w:szCs w:val="22"/>
    </w:rPr>
  </w:style>
  <w:style w:type="character" w:customStyle="1" w:styleId="27">
    <w:name w:val="批注框文本 Char"/>
    <w:link w:val="9"/>
    <w:autoRedefine/>
    <w:semiHidden/>
    <w:qFormat/>
    <w:uiPriority w:val="99"/>
    <w:rPr>
      <w:rFonts w:ascii="Times New Roman" w:hAnsi="Times New Roman"/>
      <w:kern w:val="2"/>
      <w:sz w:val="18"/>
      <w:szCs w:val="18"/>
    </w:rPr>
  </w:style>
  <w:style w:type="character" w:customStyle="1" w:styleId="28">
    <w:name w:val="标题 1 Char"/>
    <w:link w:val="2"/>
    <w:autoRedefine/>
    <w:qFormat/>
    <w:uiPriority w:val="9"/>
    <w:rPr>
      <w:rFonts w:ascii="Times New Roman" w:hAnsi="Times New Roman" w:eastAsia="仿宋_GB2312"/>
      <w:bCs/>
      <w:kern w:val="44"/>
      <w:sz w:val="30"/>
      <w:szCs w:val="44"/>
    </w:rPr>
  </w:style>
  <w:style w:type="character" w:customStyle="1" w:styleId="29">
    <w:name w:val="标题 3 Char"/>
    <w:basedOn w:val="17"/>
    <w:link w:val="3"/>
    <w:autoRedefine/>
    <w:semiHidden/>
    <w:qFormat/>
    <w:uiPriority w:val="9"/>
    <w:rPr>
      <w:rFonts w:ascii="Times New Roman" w:hAnsi="Times New Roman"/>
      <w:b/>
      <w:bCs/>
      <w:kern w:val="2"/>
      <w:sz w:val="32"/>
      <w:szCs w:val="32"/>
    </w:rPr>
  </w:style>
  <w:style w:type="paragraph" w:styleId="30">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242645-BDFF-438D-8FEB-6B53B6019D10}">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14</Pages>
  <Words>4937</Words>
  <Characters>5086</Characters>
  <Lines>38</Lines>
  <Paragraphs>10</Paragraphs>
  <TotalTime>5</TotalTime>
  <ScaleCrop>false</ScaleCrop>
  <LinksUpToDate>false</LinksUpToDate>
  <CharactersWithSpaces>5086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2025-06-27T02:19:00Z</dcterms:created>
  <dc:creator>hxy</dc:creator>
  <cp:lastModifiedBy>都摩夜</cp:lastModifiedBy>
  <cp:lastPrinted>2025-07-16T03:51:45Z</cp:lastPrinted>
  <dcterms:modified xsi:type="dcterms:W3CDTF">2025-07-16T04:03:23Z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1DB967993D84403BA11EAC827D46EF5D_13</vt:lpwstr>
  </property>
  <property fmtid="{D5CDD505-2E9C-101B-9397-08002B2CF9AE}" pid="4" name="KSOTemplateDocerSaveRecord">
    <vt:lpwstr>eyJoZGlkIjoiNGUzMmI3YTFhNzJjZmEyOTYxZGRlNDk5ZTdmNzQ2YmUiLCJ1c2VySWQiOiI0NDY2MTQ2MzIifQ==</vt:lpwstr>
  </property>
</Properties>
</file>