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8876D">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2603A11">
      <w:pPr>
        <w:spacing w:line="480" w:lineRule="exact"/>
        <w:rPr>
          <w:rFonts w:hint="eastAsia"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2024</w:t>
      </w:r>
      <w:r>
        <w:rPr>
          <w:rFonts w:hint="eastAsia" w:ascii="仿宋_GB2312" w:hAnsi="宋体" w:eastAsia="仿宋_GB2312"/>
          <w:sz w:val="28"/>
          <w:szCs w:val="28"/>
        </w:rPr>
        <w:t>年度）</w:t>
      </w:r>
    </w:p>
    <w:p w14:paraId="10A04D02">
      <w:pPr>
        <w:spacing w:line="240" w:lineRule="exact"/>
        <w:rPr>
          <w:rFonts w:hint="eastAsia" w:ascii="仿宋_GB2312" w:hAnsi="宋体" w:eastAsia="仿宋_GB2312"/>
          <w:sz w:val="30"/>
          <w:szCs w:val="30"/>
        </w:rPr>
      </w:pPr>
    </w:p>
    <w:tbl>
      <w:tblPr>
        <w:tblStyle w:val="7"/>
        <w:tblW w:w="10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975"/>
        <w:gridCol w:w="1105"/>
        <w:gridCol w:w="727"/>
        <w:gridCol w:w="1127"/>
        <w:gridCol w:w="283"/>
        <w:gridCol w:w="849"/>
        <w:gridCol w:w="1084"/>
        <w:gridCol w:w="43"/>
        <w:gridCol w:w="441"/>
        <w:gridCol w:w="263"/>
        <w:gridCol w:w="438"/>
        <w:gridCol w:w="408"/>
        <w:gridCol w:w="1667"/>
      </w:tblGrid>
      <w:tr w14:paraId="3D42D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2558" w:type="dxa"/>
            <w:gridSpan w:val="2"/>
            <w:vAlign w:val="center"/>
          </w:tcPr>
          <w:p w14:paraId="70B70D5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8435" w:type="dxa"/>
            <w:gridSpan w:val="12"/>
            <w:vAlign w:val="center"/>
          </w:tcPr>
          <w:p w14:paraId="39884EC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知识产权纠纷多元调解机制建设</w:t>
            </w:r>
          </w:p>
        </w:tc>
      </w:tr>
      <w:tr w14:paraId="25B8A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exact"/>
          <w:jc w:val="center"/>
        </w:trPr>
        <w:tc>
          <w:tcPr>
            <w:tcW w:w="2558" w:type="dxa"/>
            <w:gridSpan w:val="2"/>
            <w:vAlign w:val="center"/>
          </w:tcPr>
          <w:p w14:paraId="497FE00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vAlign w:val="center"/>
          </w:tcPr>
          <w:p w14:paraId="49C266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27" w:type="dxa"/>
            <w:gridSpan w:val="2"/>
            <w:vAlign w:val="center"/>
          </w:tcPr>
          <w:p w14:paraId="41DB782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3217" w:type="dxa"/>
            <w:gridSpan w:val="5"/>
            <w:vAlign w:val="center"/>
          </w:tcPr>
          <w:p w14:paraId="1B9E5F3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北京市知识产权保护中心</w:t>
            </w:r>
          </w:p>
        </w:tc>
      </w:tr>
      <w:tr w14:paraId="4E810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8" w:type="dxa"/>
            <w:gridSpan w:val="2"/>
            <w:vMerge w:val="restart"/>
            <w:vAlign w:val="center"/>
          </w:tcPr>
          <w:p w14:paraId="593D250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vAlign w:val="center"/>
          </w:tcPr>
          <w:p w14:paraId="19C34BA7">
            <w:pPr>
              <w:widowControl/>
              <w:spacing w:line="240" w:lineRule="exact"/>
              <w:jc w:val="center"/>
              <w:rPr>
                <w:rFonts w:hint="eastAsia" w:ascii="仿宋_GB2312" w:hAnsi="宋体" w:eastAsia="仿宋_GB2312" w:cs="宋体"/>
                <w:kern w:val="0"/>
                <w:szCs w:val="21"/>
              </w:rPr>
            </w:pPr>
          </w:p>
        </w:tc>
        <w:tc>
          <w:tcPr>
            <w:tcW w:w="1127" w:type="dxa"/>
            <w:vAlign w:val="center"/>
          </w:tcPr>
          <w:p w14:paraId="7439F6A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14:paraId="6EB8F6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vAlign w:val="center"/>
          </w:tcPr>
          <w:p w14:paraId="48D0D59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14:paraId="0E9F8A9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vAlign w:val="center"/>
          </w:tcPr>
          <w:p w14:paraId="19941F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14:paraId="6288E2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vAlign w:val="center"/>
          </w:tcPr>
          <w:p w14:paraId="3863CF5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vAlign w:val="center"/>
          </w:tcPr>
          <w:p w14:paraId="6815D84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667" w:type="dxa"/>
            <w:vAlign w:val="center"/>
          </w:tcPr>
          <w:p w14:paraId="2916106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3DD64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2558" w:type="dxa"/>
            <w:gridSpan w:val="2"/>
            <w:vMerge w:val="continue"/>
            <w:vAlign w:val="center"/>
          </w:tcPr>
          <w:p w14:paraId="46AEB388">
            <w:pPr>
              <w:widowControl/>
              <w:spacing w:line="240" w:lineRule="exact"/>
              <w:jc w:val="center"/>
              <w:rPr>
                <w:rFonts w:hint="eastAsia" w:ascii="仿宋_GB2312" w:hAnsi="宋体" w:eastAsia="仿宋_GB2312" w:cs="宋体"/>
                <w:kern w:val="0"/>
                <w:szCs w:val="21"/>
              </w:rPr>
            </w:pPr>
          </w:p>
        </w:tc>
        <w:tc>
          <w:tcPr>
            <w:tcW w:w="1832" w:type="dxa"/>
            <w:gridSpan w:val="2"/>
            <w:vAlign w:val="center"/>
          </w:tcPr>
          <w:p w14:paraId="372A3B8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vAlign w:val="center"/>
          </w:tcPr>
          <w:p w14:paraId="6A39883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308.2</w:t>
            </w:r>
          </w:p>
        </w:tc>
        <w:tc>
          <w:tcPr>
            <w:tcW w:w="1132" w:type="dxa"/>
            <w:gridSpan w:val="2"/>
            <w:vAlign w:val="center"/>
          </w:tcPr>
          <w:p w14:paraId="3C2AD92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308.2</w:t>
            </w:r>
          </w:p>
        </w:tc>
        <w:tc>
          <w:tcPr>
            <w:tcW w:w="1127" w:type="dxa"/>
            <w:gridSpan w:val="2"/>
            <w:vAlign w:val="center"/>
          </w:tcPr>
          <w:p w14:paraId="52DA8C9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295.39</w:t>
            </w:r>
          </w:p>
        </w:tc>
        <w:tc>
          <w:tcPr>
            <w:tcW w:w="704" w:type="dxa"/>
            <w:gridSpan w:val="2"/>
            <w:vAlign w:val="center"/>
          </w:tcPr>
          <w:p w14:paraId="255005E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vAlign w:val="center"/>
          </w:tcPr>
          <w:p w14:paraId="0A0007C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95.84%</w:t>
            </w:r>
          </w:p>
        </w:tc>
        <w:tc>
          <w:tcPr>
            <w:tcW w:w="1667" w:type="dxa"/>
            <w:vAlign w:val="center"/>
          </w:tcPr>
          <w:p w14:paraId="3E36227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9.58</w:t>
            </w:r>
          </w:p>
        </w:tc>
      </w:tr>
      <w:tr w14:paraId="3FF44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2558" w:type="dxa"/>
            <w:gridSpan w:val="2"/>
            <w:vMerge w:val="continue"/>
            <w:vAlign w:val="center"/>
          </w:tcPr>
          <w:p w14:paraId="5FC1CC3D">
            <w:pPr>
              <w:widowControl/>
              <w:spacing w:line="240" w:lineRule="exact"/>
              <w:jc w:val="center"/>
              <w:rPr>
                <w:rFonts w:hint="eastAsia" w:ascii="仿宋_GB2312" w:hAnsi="宋体" w:eastAsia="仿宋_GB2312" w:cs="宋体"/>
                <w:kern w:val="0"/>
                <w:szCs w:val="21"/>
              </w:rPr>
            </w:pPr>
          </w:p>
        </w:tc>
        <w:tc>
          <w:tcPr>
            <w:tcW w:w="1832" w:type="dxa"/>
            <w:gridSpan w:val="2"/>
            <w:vAlign w:val="center"/>
          </w:tcPr>
          <w:p w14:paraId="28C532A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14:paraId="3034F92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vAlign w:val="center"/>
          </w:tcPr>
          <w:p w14:paraId="7B460CE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308.2</w:t>
            </w:r>
          </w:p>
        </w:tc>
        <w:tc>
          <w:tcPr>
            <w:tcW w:w="1132" w:type="dxa"/>
            <w:gridSpan w:val="2"/>
            <w:vAlign w:val="center"/>
          </w:tcPr>
          <w:p w14:paraId="4969D0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308.2</w:t>
            </w:r>
          </w:p>
        </w:tc>
        <w:tc>
          <w:tcPr>
            <w:tcW w:w="1127" w:type="dxa"/>
            <w:gridSpan w:val="2"/>
            <w:vAlign w:val="center"/>
          </w:tcPr>
          <w:p w14:paraId="7B69512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295.39</w:t>
            </w:r>
          </w:p>
        </w:tc>
        <w:tc>
          <w:tcPr>
            <w:tcW w:w="704" w:type="dxa"/>
            <w:gridSpan w:val="2"/>
            <w:vAlign w:val="center"/>
          </w:tcPr>
          <w:p w14:paraId="125BE31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14:paraId="6A23EEF3">
            <w:pPr>
              <w:widowControl/>
              <w:spacing w:line="240" w:lineRule="exact"/>
              <w:jc w:val="center"/>
              <w:rPr>
                <w:rFonts w:hint="eastAsia" w:ascii="仿宋_GB2312" w:hAnsi="宋体" w:eastAsia="仿宋_GB2312" w:cs="宋体"/>
                <w:kern w:val="0"/>
                <w:szCs w:val="21"/>
              </w:rPr>
            </w:pPr>
            <w:bookmarkStart w:id="0" w:name="OLE_LINK2"/>
            <w:bookmarkStart w:id="1" w:name="OLE_LINK1"/>
            <w:r>
              <w:rPr>
                <w:rFonts w:hint="eastAsia" w:ascii="仿宋_GB2312" w:hAnsi="宋体" w:eastAsia="仿宋_GB2312" w:cs="宋体"/>
                <w:kern w:val="0"/>
                <w:szCs w:val="21"/>
              </w:rPr>
              <w:t>95.84%</w:t>
            </w:r>
            <w:bookmarkEnd w:id="0"/>
            <w:bookmarkEnd w:id="1"/>
          </w:p>
        </w:tc>
        <w:tc>
          <w:tcPr>
            <w:tcW w:w="1667" w:type="dxa"/>
            <w:vAlign w:val="center"/>
          </w:tcPr>
          <w:p w14:paraId="7F92DB4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F30B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8" w:type="dxa"/>
            <w:gridSpan w:val="2"/>
            <w:vMerge w:val="continue"/>
            <w:vAlign w:val="center"/>
          </w:tcPr>
          <w:p w14:paraId="19AC1212">
            <w:pPr>
              <w:widowControl/>
              <w:spacing w:line="240" w:lineRule="exact"/>
              <w:jc w:val="center"/>
              <w:rPr>
                <w:rFonts w:hint="eastAsia" w:ascii="仿宋_GB2312" w:hAnsi="宋体" w:eastAsia="仿宋_GB2312" w:cs="宋体"/>
                <w:kern w:val="0"/>
                <w:szCs w:val="21"/>
              </w:rPr>
            </w:pPr>
          </w:p>
        </w:tc>
        <w:tc>
          <w:tcPr>
            <w:tcW w:w="1832" w:type="dxa"/>
            <w:gridSpan w:val="2"/>
            <w:vAlign w:val="center"/>
          </w:tcPr>
          <w:p w14:paraId="793DF7E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vAlign w:val="center"/>
          </w:tcPr>
          <w:p w14:paraId="595B6D8B">
            <w:pPr>
              <w:widowControl/>
              <w:spacing w:line="240" w:lineRule="exact"/>
              <w:jc w:val="center"/>
              <w:rPr>
                <w:rFonts w:hint="eastAsia" w:ascii="仿宋_GB2312" w:hAnsi="宋体" w:eastAsia="仿宋_GB2312" w:cs="宋体"/>
                <w:kern w:val="0"/>
                <w:szCs w:val="21"/>
              </w:rPr>
            </w:pPr>
          </w:p>
        </w:tc>
        <w:tc>
          <w:tcPr>
            <w:tcW w:w="1132" w:type="dxa"/>
            <w:gridSpan w:val="2"/>
            <w:vAlign w:val="center"/>
          </w:tcPr>
          <w:p w14:paraId="2386629C">
            <w:pPr>
              <w:widowControl/>
              <w:spacing w:line="240" w:lineRule="exact"/>
              <w:jc w:val="center"/>
              <w:rPr>
                <w:rFonts w:hint="eastAsia" w:ascii="仿宋_GB2312" w:hAnsi="宋体" w:eastAsia="仿宋_GB2312" w:cs="宋体"/>
                <w:kern w:val="0"/>
                <w:szCs w:val="21"/>
              </w:rPr>
            </w:pPr>
          </w:p>
        </w:tc>
        <w:tc>
          <w:tcPr>
            <w:tcW w:w="1127" w:type="dxa"/>
            <w:gridSpan w:val="2"/>
            <w:vAlign w:val="center"/>
          </w:tcPr>
          <w:p w14:paraId="7581D0D6">
            <w:pPr>
              <w:widowControl/>
              <w:spacing w:line="240" w:lineRule="exact"/>
              <w:jc w:val="center"/>
              <w:rPr>
                <w:rFonts w:hint="eastAsia" w:ascii="仿宋_GB2312" w:hAnsi="宋体" w:eastAsia="仿宋_GB2312" w:cs="宋体"/>
                <w:kern w:val="0"/>
                <w:szCs w:val="21"/>
              </w:rPr>
            </w:pPr>
          </w:p>
        </w:tc>
        <w:tc>
          <w:tcPr>
            <w:tcW w:w="704" w:type="dxa"/>
            <w:gridSpan w:val="2"/>
            <w:vAlign w:val="center"/>
          </w:tcPr>
          <w:p w14:paraId="10359D9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14:paraId="73EBDA29">
            <w:pPr>
              <w:widowControl/>
              <w:spacing w:line="240" w:lineRule="exact"/>
              <w:jc w:val="center"/>
              <w:rPr>
                <w:rFonts w:hint="eastAsia" w:ascii="仿宋_GB2312" w:hAnsi="宋体" w:eastAsia="仿宋_GB2312" w:cs="宋体"/>
                <w:kern w:val="0"/>
                <w:szCs w:val="21"/>
              </w:rPr>
            </w:pPr>
          </w:p>
        </w:tc>
        <w:tc>
          <w:tcPr>
            <w:tcW w:w="1667" w:type="dxa"/>
            <w:vAlign w:val="center"/>
          </w:tcPr>
          <w:p w14:paraId="3A1D401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2635A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2558" w:type="dxa"/>
            <w:gridSpan w:val="2"/>
            <w:vMerge w:val="continue"/>
            <w:vAlign w:val="center"/>
          </w:tcPr>
          <w:p w14:paraId="5A616811">
            <w:pPr>
              <w:widowControl/>
              <w:spacing w:line="240" w:lineRule="exact"/>
              <w:jc w:val="center"/>
              <w:rPr>
                <w:rFonts w:hint="eastAsia" w:ascii="仿宋_GB2312" w:hAnsi="宋体" w:eastAsia="仿宋_GB2312" w:cs="宋体"/>
                <w:kern w:val="0"/>
                <w:szCs w:val="21"/>
              </w:rPr>
            </w:pPr>
          </w:p>
        </w:tc>
        <w:tc>
          <w:tcPr>
            <w:tcW w:w="1832" w:type="dxa"/>
            <w:gridSpan w:val="2"/>
            <w:vAlign w:val="center"/>
          </w:tcPr>
          <w:p w14:paraId="65E248D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vAlign w:val="center"/>
          </w:tcPr>
          <w:p w14:paraId="351132D4">
            <w:pPr>
              <w:widowControl/>
              <w:spacing w:line="240" w:lineRule="exact"/>
              <w:jc w:val="center"/>
              <w:rPr>
                <w:rFonts w:hint="eastAsia" w:ascii="仿宋_GB2312" w:hAnsi="宋体" w:eastAsia="仿宋_GB2312" w:cs="宋体"/>
                <w:kern w:val="0"/>
                <w:szCs w:val="21"/>
              </w:rPr>
            </w:pPr>
          </w:p>
        </w:tc>
        <w:tc>
          <w:tcPr>
            <w:tcW w:w="1132" w:type="dxa"/>
            <w:gridSpan w:val="2"/>
            <w:vAlign w:val="center"/>
          </w:tcPr>
          <w:p w14:paraId="6FD7B6DF">
            <w:pPr>
              <w:widowControl/>
              <w:spacing w:line="240" w:lineRule="exact"/>
              <w:jc w:val="center"/>
              <w:rPr>
                <w:rFonts w:hint="eastAsia" w:ascii="仿宋_GB2312" w:hAnsi="宋体" w:eastAsia="仿宋_GB2312" w:cs="宋体"/>
                <w:kern w:val="0"/>
                <w:szCs w:val="21"/>
              </w:rPr>
            </w:pPr>
          </w:p>
        </w:tc>
        <w:tc>
          <w:tcPr>
            <w:tcW w:w="1127" w:type="dxa"/>
            <w:gridSpan w:val="2"/>
            <w:vAlign w:val="center"/>
          </w:tcPr>
          <w:p w14:paraId="418F6A45">
            <w:pPr>
              <w:widowControl/>
              <w:spacing w:line="240" w:lineRule="exact"/>
              <w:jc w:val="center"/>
              <w:rPr>
                <w:rFonts w:hint="eastAsia" w:ascii="仿宋_GB2312" w:hAnsi="宋体" w:eastAsia="仿宋_GB2312" w:cs="宋体"/>
                <w:kern w:val="0"/>
                <w:szCs w:val="21"/>
              </w:rPr>
            </w:pPr>
          </w:p>
        </w:tc>
        <w:tc>
          <w:tcPr>
            <w:tcW w:w="704" w:type="dxa"/>
            <w:gridSpan w:val="2"/>
            <w:vAlign w:val="center"/>
          </w:tcPr>
          <w:p w14:paraId="35ECAA3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14:paraId="534ACEF4">
            <w:pPr>
              <w:widowControl/>
              <w:spacing w:line="240" w:lineRule="exact"/>
              <w:jc w:val="center"/>
              <w:rPr>
                <w:rFonts w:hint="eastAsia" w:ascii="仿宋_GB2312" w:hAnsi="宋体" w:eastAsia="仿宋_GB2312" w:cs="宋体"/>
                <w:kern w:val="0"/>
                <w:szCs w:val="21"/>
              </w:rPr>
            </w:pPr>
          </w:p>
        </w:tc>
        <w:tc>
          <w:tcPr>
            <w:tcW w:w="1667" w:type="dxa"/>
            <w:vAlign w:val="center"/>
          </w:tcPr>
          <w:p w14:paraId="77F251B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6A7BD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1583" w:type="dxa"/>
            <w:vMerge w:val="restart"/>
            <w:vAlign w:val="center"/>
          </w:tcPr>
          <w:p w14:paraId="72AC1F4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vAlign w:val="center"/>
          </w:tcPr>
          <w:p w14:paraId="5039A4A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4344" w:type="dxa"/>
            <w:gridSpan w:val="7"/>
            <w:vAlign w:val="center"/>
          </w:tcPr>
          <w:p w14:paraId="4E6DEF2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6280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0" w:hRule="exact"/>
          <w:jc w:val="center"/>
        </w:trPr>
        <w:tc>
          <w:tcPr>
            <w:tcW w:w="1583" w:type="dxa"/>
            <w:vMerge w:val="continue"/>
            <w:vAlign w:val="center"/>
          </w:tcPr>
          <w:p w14:paraId="2BF7BB91">
            <w:pPr>
              <w:widowControl/>
              <w:spacing w:line="240" w:lineRule="exact"/>
              <w:jc w:val="center"/>
              <w:rPr>
                <w:rFonts w:hint="eastAsia" w:ascii="仿宋_GB2312" w:hAnsi="宋体" w:eastAsia="仿宋_GB2312" w:cs="宋体"/>
                <w:kern w:val="0"/>
                <w:szCs w:val="21"/>
              </w:rPr>
            </w:pPr>
          </w:p>
        </w:tc>
        <w:tc>
          <w:tcPr>
            <w:tcW w:w="5066" w:type="dxa"/>
            <w:gridSpan w:val="6"/>
            <w:vAlign w:val="center"/>
          </w:tcPr>
          <w:p w14:paraId="59E3693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落实中央和北京市关于新形势下构建多元化纠纷解决机制的相关要求，完善人民调解、行政调解、司法调解联动工作体系，推动构建大调解工作格局，发挥行业性、专业性知识产权纠纷人民调解组织的作用，为各类创新主体提供便捷、高效、专业的维权途径。</w:t>
            </w:r>
          </w:p>
        </w:tc>
        <w:tc>
          <w:tcPr>
            <w:tcW w:w="4344" w:type="dxa"/>
            <w:gridSpan w:val="7"/>
            <w:vAlign w:val="center"/>
          </w:tcPr>
          <w:p w14:paraId="04483E0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共与16家调委会及5家调解工作室所依托的社会组织或企业签订书面协议，根据资金管理办法分别对调委会及调解工作室进行扶持。各调委会及调解工作室均按照扶持项目完成绩效目标。全年，各调委会共受理纠纷19807件，调解结案12944件，调解成功10054件，调解成功率为77.6%。</w:t>
            </w:r>
          </w:p>
        </w:tc>
      </w:tr>
      <w:tr w14:paraId="696D1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1583" w:type="dxa"/>
            <w:vMerge w:val="restart"/>
            <w:vAlign w:val="center"/>
          </w:tcPr>
          <w:p w14:paraId="6687F60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vAlign w:val="center"/>
          </w:tcPr>
          <w:p w14:paraId="08F57E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vAlign w:val="center"/>
          </w:tcPr>
          <w:p w14:paraId="4D13EA0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vAlign w:val="center"/>
          </w:tcPr>
          <w:p w14:paraId="1006A9E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vAlign w:val="center"/>
          </w:tcPr>
          <w:p w14:paraId="6AB19B3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3A9CC76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084" w:type="dxa"/>
            <w:vAlign w:val="center"/>
          </w:tcPr>
          <w:p w14:paraId="2B9A914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63C37ED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484" w:type="dxa"/>
            <w:gridSpan w:val="2"/>
            <w:vAlign w:val="center"/>
          </w:tcPr>
          <w:p w14:paraId="5DE5231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01" w:type="dxa"/>
            <w:gridSpan w:val="2"/>
            <w:vAlign w:val="center"/>
          </w:tcPr>
          <w:p w14:paraId="3A7F28C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2075" w:type="dxa"/>
            <w:gridSpan w:val="2"/>
            <w:vAlign w:val="center"/>
          </w:tcPr>
          <w:p w14:paraId="773939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0CC6A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0" w:hRule="exact"/>
          <w:jc w:val="center"/>
        </w:trPr>
        <w:tc>
          <w:tcPr>
            <w:tcW w:w="1583" w:type="dxa"/>
            <w:vMerge w:val="continue"/>
            <w:vAlign w:val="center"/>
          </w:tcPr>
          <w:p w14:paraId="19EBAFF9">
            <w:pPr>
              <w:widowControl/>
              <w:spacing w:line="240" w:lineRule="exact"/>
              <w:jc w:val="center"/>
              <w:rPr>
                <w:rFonts w:hint="eastAsia" w:ascii="仿宋_GB2312" w:hAnsi="宋体" w:eastAsia="仿宋_GB2312" w:cs="宋体"/>
                <w:kern w:val="0"/>
                <w:szCs w:val="21"/>
              </w:rPr>
            </w:pPr>
          </w:p>
        </w:tc>
        <w:tc>
          <w:tcPr>
            <w:tcW w:w="975" w:type="dxa"/>
            <w:vMerge w:val="restart"/>
            <w:vAlign w:val="center"/>
          </w:tcPr>
          <w:p w14:paraId="01CAA9E5">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vAlign w:val="center"/>
          </w:tcPr>
          <w:p w14:paraId="56E45FC7">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vAlign w:val="center"/>
          </w:tcPr>
          <w:p w14:paraId="123B27D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扶持知识产权纠纷人民调解委员会</w:t>
            </w:r>
          </w:p>
        </w:tc>
        <w:tc>
          <w:tcPr>
            <w:tcW w:w="849" w:type="dxa"/>
            <w:vAlign w:val="center"/>
          </w:tcPr>
          <w:p w14:paraId="0275409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≥15个</w:t>
            </w:r>
          </w:p>
        </w:tc>
        <w:tc>
          <w:tcPr>
            <w:tcW w:w="1084" w:type="dxa"/>
            <w:vAlign w:val="center"/>
          </w:tcPr>
          <w:p w14:paraId="673B017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16个</w:t>
            </w:r>
          </w:p>
        </w:tc>
        <w:tc>
          <w:tcPr>
            <w:tcW w:w="484" w:type="dxa"/>
            <w:gridSpan w:val="2"/>
            <w:vAlign w:val="center"/>
          </w:tcPr>
          <w:p w14:paraId="5DB4500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696F21E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6774F422">
            <w:pPr>
              <w:widowControl/>
              <w:spacing w:line="240" w:lineRule="exact"/>
              <w:jc w:val="center"/>
              <w:rPr>
                <w:rFonts w:hint="eastAsia" w:ascii="仿宋_GB2312" w:hAnsi="宋体" w:eastAsia="仿宋_GB2312" w:cs="宋体"/>
                <w:kern w:val="0"/>
                <w:szCs w:val="21"/>
              </w:rPr>
            </w:pPr>
          </w:p>
        </w:tc>
      </w:tr>
      <w:tr w14:paraId="7AEA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1583" w:type="dxa"/>
            <w:vMerge w:val="continue"/>
            <w:vAlign w:val="center"/>
          </w:tcPr>
          <w:p w14:paraId="3CCCA152">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1155AC18">
            <w:pPr>
              <w:spacing w:line="240" w:lineRule="exact"/>
              <w:jc w:val="center"/>
              <w:rPr>
                <w:rFonts w:hint="eastAsia" w:ascii="仿宋_GB2312" w:hAnsi="宋体" w:eastAsia="仿宋_GB2312" w:cs="宋体"/>
                <w:kern w:val="0"/>
                <w:szCs w:val="21"/>
              </w:rPr>
            </w:pPr>
          </w:p>
        </w:tc>
        <w:tc>
          <w:tcPr>
            <w:tcW w:w="1105" w:type="dxa"/>
            <w:vMerge w:val="continue"/>
            <w:vAlign w:val="center"/>
          </w:tcPr>
          <w:p w14:paraId="1EB7DE60">
            <w:pPr>
              <w:spacing w:line="240" w:lineRule="exact"/>
              <w:jc w:val="center"/>
              <w:rPr>
                <w:rFonts w:hint="eastAsia" w:ascii="仿宋_GB2312" w:hAnsi="宋体" w:eastAsia="仿宋_GB2312" w:cs="宋体"/>
                <w:kern w:val="0"/>
                <w:szCs w:val="21"/>
              </w:rPr>
            </w:pPr>
          </w:p>
        </w:tc>
        <w:tc>
          <w:tcPr>
            <w:tcW w:w="2137" w:type="dxa"/>
            <w:gridSpan w:val="3"/>
            <w:vAlign w:val="center"/>
          </w:tcPr>
          <w:p w14:paraId="0EDAD18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扶持知识产权纠纷人民调解工作室</w:t>
            </w:r>
          </w:p>
        </w:tc>
        <w:tc>
          <w:tcPr>
            <w:tcW w:w="849" w:type="dxa"/>
            <w:vAlign w:val="center"/>
          </w:tcPr>
          <w:p w14:paraId="7BA615C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≥5个</w:t>
            </w:r>
          </w:p>
        </w:tc>
        <w:tc>
          <w:tcPr>
            <w:tcW w:w="1084" w:type="dxa"/>
            <w:vAlign w:val="center"/>
          </w:tcPr>
          <w:p w14:paraId="2D9DF09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5个</w:t>
            </w:r>
          </w:p>
        </w:tc>
        <w:tc>
          <w:tcPr>
            <w:tcW w:w="484" w:type="dxa"/>
            <w:gridSpan w:val="2"/>
            <w:vAlign w:val="center"/>
          </w:tcPr>
          <w:p w14:paraId="1F23E2B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3EBE5F9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286662D9">
            <w:pPr>
              <w:widowControl/>
              <w:spacing w:line="240" w:lineRule="exact"/>
              <w:jc w:val="center"/>
              <w:rPr>
                <w:rFonts w:hint="eastAsia" w:ascii="仿宋_GB2312" w:hAnsi="宋体" w:eastAsia="仿宋_GB2312" w:cs="宋体"/>
                <w:kern w:val="0"/>
                <w:szCs w:val="21"/>
              </w:rPr>
            </w:pPr>
          </w:p>
        </w:tc>
      </w:tr>
      <w:tr w14:paraId="2ABEC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583" w:type="dxa"/>
            <w:vMerge w:val="continue"/>
            <w:vAlign w:val="center"/>
          </w:tcPr>
          <w:p w14:paraId="23559007">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248331E3">
            <w:pPr>
              <w:widowControl/>
              <w:spacing w:line="240" w:lineRule="exact"/>
              <w:jc w:val="center"/>
              <w:rPr>
                <w:rFonts w:hint="eastAsia" w:ascii="仿宋_GB2312" w:hAnsi="宋体" w:eastAsia="仿宋_GB2312" w:cs="宋体"/>
                <w:kern w:val="0"/>
                <w:szCs w:val="21"/>
              </w:rPr>
            </w:pPr>
          </w:p>
        </w:tc>
        <w:tc>
          <w:tcPr>
            <w:tcW w:w="1105" w:type="dxa"/>
            <w:vMerge w:val="continue"/>
            <w:vAlign w:val="center"/>
          </w:tcPr>
          <w:p w14:paraId="581DA708">
            <w:pPr>
              <w:widowControl/>
              <w:spacing w:line="240" w:lineRule="exact"/>
              <w:jc w:val="center"/>
              <w:rPr>
                <w:rFonts w:hint="eastAsia" w:ascii="仿宋_GB2312" w:hAnsi="宋体" w:eastAsia="仿宋_GB2312" w:cs="宋体"/>
                <w:kern w:val="0"/>
                <w:szCs w:val="21"/>
              </w:rPr>
            </w:pPr>
          </w:p>
        </w:tc>
        <w:tc>
          <w:tcPr>
            <w:tcW w:w="2137" w:type="dxa"/>
            <w:gridSpan w:val="3"/>
            <w:vAlign w:val="center"/>
          </w:tcPr>
          <w:p w14:paraId="049DC86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扶持知识产权纠纷人民调解工作室：活动数量</w:t>
            </w:r>
          </w:p>
        </w:tc>
        <w:tc>
          <w:tcPr>
            <w:tcW w:w="849" w:type="dxa"/>
            <w:vAlign w:val="center"/>
          </w:tcPr>
          <w:p w14:paraId="341D0F59">
            <w:pPr>
              <w:jc w:val="center"/>
              <w:rPr>
                <w:rFonts w:hint="eastAsia" w:ascii="仿宋_GB2312" w:hAnsi="宋体" w:eastAsia="仿宋_GB2312" w:cs="宋体"/>
                <w:kern w:val="0"/>
                <w:szCs w:val="21"/>
              </w:rPr>
            </w:pPr>
            <w:r>
              <w:rPr>
                <w:rFonts w:hint="eastAsia" w:ascii="仿宋_GB2312" w:hAnsi="宋体" w:eastAsia="仿宋_GB2312" w:cs="宋体"/>
                <w:kern w:val="0"/>
                <w:szCs w:val="21"/>
              </w:rPr>
              <w:t>≥20场</w:t>
            </w:r>
          </w:p>
        </w:tc>
        <w:tc>
          <w:tcPr>
            <w:tcW w:w="1084" w:type="dxa"/>
            <w:vAlign w:val="center"/>
          </w:tcPr>
          <w:p w14:paraId="59E2A89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25场</w:t>
            </w:r>
          </w:p>
        </w:tc>
        <w:tc>
          <w:tcPr>
            <w:tcW w:w="484" w:type="dxa"/>
            <w:gridSpan w:val="2"/>
            <w:vAlign w:val="center"/>
          </w:tcPr>
          <w:p w14:paraId="6769975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58DFEE8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21CF5A10"/>
        </w:tc>
      </w:tr>
      <w:tr w14:paraId="3B43C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1" w:hRule="exact"/>
          <w:jc w:val="center"/>
        </w:trPr>
        <w:tc>
          <w:tcPr>
            <w:tcW w:w="1583" w:type="dxa"/>
            <w:vMerge w:val="continue"/>
            <w:vAlign w:val="center"/>
          </w:tcPr>
          <w:p w14:paraId="74AC2600">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0B3AC2AB">
            <w:pPr>
              <w:widowControl/>
              <w:spacing w:line="240" w:lineRule="exact"/>
              <w:jc w:val="center"/>
              <w:rPr>
                <w:rFonts w:hint="eastAsia" w:ascii="仿宋_GB2312" w:hAnsi="宋体" w:eastAsia="仿宋_GB2312" w:cs="宋体"/>
                <w:kern w:val="0"/>
                <w:szCs w:val="21"/>
              </w:rPr>
            </w:pPr>
          </w:p>
        </w:tc>
        <w:tc>
          <w:tcPr>
            <w:tcW w:w="1105" w:type="dxa"/>
            <w:vMerge w:val="continue"/>
            <w:vAlign w:val="center"/>
          </w:tcPr>
          <w:p w14:paraId="684AC68D">
            <w:pPr>
              <w:widowControl/>
              <w:spacing w:line="240" w:lineRule="exact"/>
              <w:jc w:val="center"/>
              <w:rPr>
                <w:rFonts w:hint="eastAsia" w:ascii="仿宋_GB2312" w:hAnsi="宋体" w:eastAsia="仿宋_GB2312" w:cs="宋体"/>
                <w:kern w:val="0"/>
                <w:szCs w:val="21"/>
              </w:rPr>
            </w:pPr>
          </w:p>
        </w:tc>
        <w:tc>
          <w:tcPr>
            <w:tcW w:w="2137" w:type="dxa"/>
            <w:gridSpan w:val="3"/>
            <w:vAlign w:val="center"/>
          </w:tcPr>
          <w:p w14:paraId="17B004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扶持知识产权纠纷人民调解委员会：案件数量</w:t>
            </w:r>
          </w:p>
        </w:tc>
        <w:tc>
          <w:tcPr>
            <w:tcW w:w="849" w:type="dxa"/>
            <w:vAlign w:val="center"/>
          </w:tcPr>
          <w:p w14:paraId="56A60D48">
            <w:pPr>
              <w:jc w:val="center"/>
              <w:rPr>
                <w:rFonts w:hint="eastAsia" w:ascii="仿宋_GB2312" w:hAnsi="宋体" w:eastAsia="仿宋_GB2312" w:cs="宋体"/>
                <w:kern w:val="0"/>
                <w:szCs w:val="21"/>
              </w:rPr>
            </w:pPr>
            <w:r>
              <w:rPr>
                <w:rFonts w:hint="eastAsia" w:ascii="仿宋_GB2312" w:hAnsi="宋体" w:eastAsia="仿宋_GB2312" w:cs="宋体"/>
                <w:kern w:val="0"/>
                <w:szCs w:val="21"/>
              </w:rPr>
              <w:t>≥9000件</w:t>
            </w:r>
          </w:p>
        </w:tc>
        <w:tc>
          <w:tcPr>
            <w:tcW w:w="1084" w:type="dxa"/>
            <w:vAlign w:val="center"/>
          </w:tcPr>
          <w:p w14:paraId="3B58548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19807件</w:t>
            </w:r>
          </w:p>
        </w:tc>
        <w:tc>
          <w:tcPr>
            <w:tcW w:w="484" w:type="dxa"/>
            <w:gridSpan w:val="2"/>
            <w:vAlign w:val="center"/>
          </w:tcPr>
          <w:p w14:paraId="46AFA2E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5B0A167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2D0BDDAB">
            <w:pPr>
              <w:jc w:val="center"/>
              <w:rPr>
                <w:rFonts w:hint="eastAsia" w:ascii="仿宋_GB2312" w:hAnsi="宋体" w:eastAsia="仿宋_GB2312" w:cs="宋体"/>
                <w:kern w:val="0"/>
                <w:szCs w:val="21"/>
              </w:rPr>
            </w:pPr>
            <w:bookmarkStart w:id="2" w:name="_GoBack"/>
            <w:bookmarkEnd w:id="2"/>
          </w:p>
        </w:tc>
      </w:tr>
      <w:tr w14:paraId="0A3C8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exact"/>
          <w:jc w:val="center"/>
        </w:trPr>
        <w:tc>
          <w:tcPr>
            <w:tcW w:w="1583" w:type="dxa"/>
            <w:vMerge w:val="continue"/>
            <w:vAlign w:val="center"/>
          </w:tcPr>
          <w:p w14:paraId="31A3C8A7">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73557BB1">
            <w:pPr>
              <w:widowControl/>
              <w:spacing w:line="240" w:lineRule="exact"/>
              <w:jc w:val="center"/>
              <w:rPr>
                <w:rFonts w:hint="eastAsia" w:ascii="仿宋_GB2312" w:hAnsi="宋体" w:eastAsia="仿宋_GB2312" w:cs="宋体"/>
                <w:kern w:val="0"/>
                <w:szCs w:val="21"/>
              </w:rPr>
            </w:pPr>
          </w:p>
        </w:tc>
        <w:tc>
          <w:tcPr>
            <w:tcW w:w="1105" w:type="dxa"/>
            <w:vMerge w:val="continue"/>
            <w:vAlign w:val="center"/>
          </w:tcPr>
          <w:p w14:paraId="31772B04">
            <w:pPr>
              <w:widowControl/>
              <w:spacing w:line="240" w:lineRule="exact"/>
              <w:jc w:val="center"/>
              <w:rPr>
                <w:rFonts w:hint="eastAsia" w:ascii="仿宋_GB2312" w:hAnsi="宋体" w:eastAsia="仿宋_GB2312" w:cs="宋体"/>
                <w:kern w:val="0"/>
                <w:szCs w:val="21"/>
              </w:rPr>
            </w:pPr>
          </w:p>
        </w:tc>
        <w:tc>
          <w:tcPr>
            <w:tcW w:w="2137" w:type="dxa"/>
            <w:gridSpan w:val="3"/>
            <w:vAlign w:val="center"/>
          </w:tcPr>
          <w:p w14:paraId="43B9F9B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扶持知识产权纠纷人民调解委员会：活动数量</w:t>
            </w:r>
          </w:p>
        </w:tc>
        <w:tc>
          <w:tcPr>
            <w:tcW w:w="849" w:type="dxa"/>
            <w:vAlign w:val="center"/>
          </w:tcPr>
          <w:p w14:paraId="50ADC356">
            <w:pPr>
              <w:jc w:val="center"/>
              <w:rPr>
                <w:rFonts w:hint="eastAsia" w:ascii="仿宋_GB2312" w:hAnsi="宋体" w:eastAsia="仿宋_GB2312" w:cs="宋体"/>
                <w:kern w:val="0"/>
                <w:szCs w:val="21"/>
              </w:rPr>
            </w:pPr>
            <w:r>
              <w:rPr>
                <w:rFonts w:hint="eastAsia" w:ascii="仿宋_GB2312" w:hAnsi="宋体" w:eastAsia="仿宋_GB2312" w:cs="宋体"/>
                <w:kern w:val="0"/>
                <w:szCs w:val="21"/>
              </w:rPr>
              <w:t>≥20场</w:t>
            </w:r>
          </w:p>
        </w:tc>
        <w:tc>
          <w:tcPr>
            <w:tcW w:w="1084" w:type="dxa"/>
            <w:vAlign w:val="center"/>
          </w:tcPr>
          <w:p w14:paraId="352B9CA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32场</w:t>
            </w:r>
          </w:p>
        </w:tc>
        <w:tc>
          <w:tcPr>
            <w:tcW w:w="484" w:type="dxa"/>
            <w:gridSpan w:val="2"/>
            <w:vAlign w:val="center"/>
          </w:tcPr>
          <w:p w14:paraId="65246C8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416579E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6D023F20">
            <w:pPr>
              <w:jc w:val="center"/>
              <w:rPr>
                <w:rFonts w:hint="eastAsia" w:ascii="仿宋_GB2312" w:hAnsi="宋体" w:eastAsia="仿宋_GB2312" w:cs="宋体"/>
                <w:kern w:val="0"/>
                <w:szCs w:val="21"/>
              </w:rPr>
            </w:pPr>
          </w:p>
        </w:tc>
      </w:tr>
      <w:tr w14:paraId="7C907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exact"/>
          <w:jc w:val="center"/>
        </w:trPr>
        <w:tc>
          <w:tcPr>
            <w:tcW w:w="1583" w:type="dxa"/>
            <w:vMerge w:val="continue"/>
            <w:vAlign w:val="center"/>
          </w:tcPr>
          <w:p w14:paraId="504343DB">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3F8EFFC7">
            <w:pPr>
              <w:widowControl/>
              <w:spacing w:line="240" w:lineRule="exact"/>
              <w:jc w:val="center"/>
              <w:rPr>
                <w:rFonts w:hint="eastAsia" w:ascii="仿宋_GB2312" w:hAnsi="宋体" w:eastAsia="仿宋_GB2312" w:cs="宋体"/>
                <w:kern w:val="0"/>
                <w:szCs w:val="21"/>
              </w:rPr>
            </w:pPr>
          </w:p>
        </w:tc>
        <w:tc>
          <w:tcPr>
            <w:tcW w:w="1105" w:type="dxa"/>
            <w:vMerge w:val="continue"/>
            <w:vAlign w:val="center"/>
          </w:tcPr>
          <w:p w14:paraId="6BF73940">
            <w:pPr>
              <w:widowControl/>
              <w:spacing w:line="240" w:lineRule="exact"/>
              <w:jc w:val="center"/>
              <w:rPr>
                <w:rFonts w:hint="eastAsia" w:ascii="仿宋_GB2312" w:hAnsi="宋体" w:eastAsia="仿宋_GB2312" w:cs="宋体"/>
                <w:kern w:val="0"/>
                <w:szCs w:val="21"/>
              </w:rPr>
            </w:pPr>
          </w:p>
        </w:tc>
        <w:tc>
          <w:tcPr>
            <w:tcW w:w="2137" w:type="dxa"/>
            <w:gridSpan w:val="3"/>
            <w:vAlign w:val="center"/>
          </w:tcPr>
          <w:p w14:paraId="065C42C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数据核查分析：报告数量</w:t>
            </w:r>
          </w:p>
        </w:tc>
        <w:tc>
          <w:tcPr>
            <w:tcW w:w="849" w:type="dxa"/>
            <w:vAlign w:val="center"/>
          </w:tcPr>
          <w:p w14:paraId="1C7B00A6">
            <w:pPr>
              <w:jc w:val="center"/>
              <w:rPr>
                <w:rFonts w:hint="eastAsia" w:ascii="仿宋_GB2312" w:hAnsi="宋体" w:eastAsia="仿宋_GB2312" w:cs="宋体"/>
                <w:kern w:val="0"/>
                <w:szCs w:val="21"/>
              </w:rPr>
            </w:pPr>
            <w:r>
              <w:rPr>
                <w:rFonts w:hint="eastAsia" w:ascii="仿宋_GB2312" w:hAnsi="宋体" w:eastAsia="仿宋_GB2312" w:cs="宋体"/>
                <w:kern w:val="0"/>
                <w:szCs w:val="21"/>
              </w:rPr>
              <w:t>≥5份</w:t>
            </w:r>
          </w:p>
        </w:tc>
        <w:tc>
          <w:tcPr>
            <w:tcW w:w="1084" w:type="dxa"/>
            <w:vAlign w:val="center"/>
          </w:tcPr>
          <w:p w14:paraId="35D49B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5份</w:t>
            </w:r>
          </w:p>
        </w:tc>
        <w:tc>
          <w:tcPr>
            <w:tcW w:w="484" w:type="dxa"/>
            <w:gridSpan w:val="2"/>
            <w:vAlign w:val="center"/>
          </w:tcPr>
          <w:p w14:paraId="3869C3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4C7D7F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0585E435">
            <w:pPr>
              <w:jc w:val="center"/>
              <w:rPr>
                <w:rFonts w:hint="eastAsia" w:ascii="仿宋_GB2312" w:hAnsi="宋体" w:eastAsia="仿宋_GB2312" w:cs="宋体"/>
                <w:kern w:val="0"/>
                <w:szCs w:val="21"/>
              </w:rPr>
            </w:pPr>
          </w:p>
        </w:tc>
      </w:tr>
      <w:tr w14:paraId="306E7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8" w:hRule="exact"/>
          <w:jc w:val="center"/>
        </w:trPr>
        <w:tc>
          <w:tcPr>
            <w:tcW w:w="1583" w:type="dxa"/>
            <w:vMerge w:val="continue"/>
            <w:vAlign w:val="center"/>
          </w:tcPr>
          <w:p w14:paraId="4C5D9C26">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3E3C4761">
            <w:pPr>
              <w:widowControl/>
              <w:spacing w:line="240" w:lineRule="exact"/>
              <w:jc w:val="center"/>
              <w:rPr>
                <w:rFonts w:hint="eastAsia" w:ascii="仿宋_GB2312" w:hAnsi="宋体" w:eastAsia="仿宋_GB2312" w:cs="宋体"/>
                <w:kern w:val="0"/>
                <w:szCs w:val="21"/>
              </w:rPr>
            </w:pPr>
          </w:p>
        </w:tc>
        <w:tc>
          <w:tcPr>
            <w:tcW w:w="1105" w:type="dxa"/>
            <w:vMerge w:val="restart"/>
            <w:vAlign w:val="center"/>
          </w:tcPr>
          <w:p w14:paraId="298B2B7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vAlign w:val="center"/>
          </w:tcPr>
          <w:p w14:paraId="5B0EEB7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知识产权纠纷人民调解委员会自行委托案件数量占比</w:t>
            </w:r>
          </w:p>
        </w:tc>
        <w:tc>
          <w:tcPr>
            <w:tcW w:w="849" w:type="dxa"/>
            <w:vAlign w:val="center"/>
          </w:tcPr>
          <w:p w14:paraId="666C0467">
            <w:pPr>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r>
              <w:rPr>
                <w:rFonts w:ascii="仿宋_GB2312" w:hAnsi="宋体" w:eastAsia="仿宋_GB2312" w:cs="宋体"/>
                <w:kern w:val="0"/>
                <w:szCs w:val="21"/>
              </w:rPr>
              <w:t>%</w:t>
            </w:r>
          </w:p>
        </w:tc>
        <w:tc>
          <w:tcPr>
            <w:tcW w:w="1084" w:type="dxa"/>
            <w:vAlign w:val="center"/>
          </w:tcPr>
          <w:p w14:paraId="58F1CAE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70%</w:t>
            </w:r>
          </w:p>
        </w:tc>
        <w:tc>
          <w:tcPr>
            <w:tcW w:w="484" w:type="dxa"/>
            <w:gridSpan w:val="2"/>
            <w:vAlign w:val="center"/>
          </w:tcPr>
          <w:p w14:paraId="4F01871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08A927CC">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4.5</w:t>
            </w:r>
          </w:p>
        </w:tc>
        <w:tc>
          <w:tcPr>
            <w:tcW w:w="2075" w:type="dxa"/>
            <w:gridSpan w:val="2"/>
          </w:tcPr>
          <w:p w14:paraId="5C6882CB">
            <w:pPr>
              <w:rPr>
                <w:rFonts w:hint="eastAsia" w:ascii="仿宋_GB2312" w:hAnsi="宋体" w:eastAsia="仿宋_GB2312" w:cs="宋体"/>
                <w:kern w:val="0"/>
                <w:szCs w:val="21"/>
                <w:highlight w:val="yellow"/>
              </w:rPr>
            </w:pPr>
            <w:r>
              <w:rPr>
                <w:rFonts w:hint="eastAsia" w:ascii="仿宋_GB2312" w:hAnsi="宋体" w:eastAsia="仿宋_GB2312" w:cs="宋体"/>
                <w:kern w:val="0"/>
                <w:szCs w:val="21"/>
              </w:rPr>
              <w:t>原因：</w:t>
            </w:r>
            <w:r>
              <w:rPr>
                <w:rFonts w:ascii="仿宋_GB2312" w:hAnsi="宋体" w:eastAsia="仿宋_GB2312" w:cs="宋体"/>
                <w:kern w:val="0"/>
                <w:szCs w:val="21"/>
              </w:rPr>
              <w:t>法院委托调解案件数量下降，各调解组织接受会员单位及其他主体委托案件数量增加，因此自行委托案件数量占比增加。改进措施：深入了解调解工作变化趋势，科学设定绩效指标值。</w:t>
            </w:r>
          </w:p>
        </w:tc>
      </w:tr>
      <w:tr w14:paraId="4681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exact"/>
          <w:jc w:val="center"/>
        </w:trPr>
        <w:tc>
          <w:tcPr>
            <w:tcW w:w="1583" w:type="dxa"/>
            <w:vMerge w:val="continue"/>
            <w:vAlign w:val="center"/>
          </w:tcPr>
          <w:p w14:paraId="19B43415">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313EBFCE">
            <w:pPr>
              <w:widowControl/>
              <w:spacing w:line="240" w:lineRule="exact"/>
              <w:jc w:val="center"/>
              <w:rPr>
                <w:rFonts w:hint="eastAsia" w:ascii="仿宋_GB2312" w:hAnsi="宋体" w:eastAsia="仿宋_GB2312" w:cs="宋体"/>
                <w:kern w:val="0"/>
                <w:szCs w:val="21"/>
              </w:rPr>
            </w:pPr>
          </w:p>
        </w:tc>
        <w:tc>
          <w:tcPr>
            <w:tcW w:w="1105" w:type="dxa"/>
            <w:vMerge w:val="continue"/>
            <w:vAlign w:val="center"/>
          </w:tcPr>
          <w:p w14:paraId="4F5101D3">
            <w:pPr>
              <w:widowControl/>
              <w:spacing w:line="240" w:lineRule="exact"/>
              <w:jc w:val="center"/>
              <w:rPr>
                <w:rFonts w:hint="eastAsia" w:ascii="仿宋_GB2312" w:hAnsi="宋体" w:eastAsia="仿宋_GB2312" w:cs="宋体"/>
                <w:kern w:val="0"/>
                <w:szCs w:val="21"/>
              </w:rPr>
            </w:pPr>
          </w:p>
        </w:tc>
        <w:tc>
          <w:tcPr>
            <w:tcW w:w="2137" w:type="dxa"/>
            <w:gridSpan w:val="3"/>
            <w:vAlign w:val="center"/>
          </w:tcPr>
          <w:p w14:paraId="71BFDA2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数据核查分析</w:t>
            </w:r>
          </w:p>
        </w:tc>
        <w:tc>
          <w:tcPr>
            <w:tcW w:w="849" w:type="dxa"/>
            <w:vAlign w:val="center"/>
          </w:tcPr>
          <w:p w14:paraId="68204C6D">
            <w:pPr>
              <w:jc w:val="center"/>
              <w:rPr>
                <w:rFonts w:hint="eastAsia" w:ascii="仿宋_GB2312" w:hAnsi="宋体" w:eastAsia="仿宋_GB2312" w:cs="宋体"/>
                <w:kern w:val="0"/>
                <w:szCs w:val="21"/>
              </w:rPr>
            </w:pPr>
            <w:r>
              <w:rPr>
                <w:rFonts w:hint="eastAsia" w:ascii="仿宋_GB2312" w:hAnsi="宋体" w:eastAsia="仿宋_GB2312" w:cs="宋体"/>
                <w:kern w:val="0"/>
                <w:szCs w:val="21"/>
              </w:rPr>
              <w:t>优良中低差</w:t>
            </w:r>
          </w:p>
        </w:tc>
        <w:tc>
          <w:tcPr>
            <w:tcW w:w="1084" w:type="dxa"/>
            <w:vAlign w:val="center"/>
          </w:tcPr>
          <w:p w14:paraId="3A20D80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484" w:type="dxa"/>
            <w:gridSpan w:val="2"/>
            <w:vAlign w:val="center"/>
          </w:tcPr>
          <w:p w14:paraId="190C43A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068B757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vAlign w:val="center"/>
          </w:tcPr>
          <w:p w14:paraId="2F2556DB">
            <w:pPr>
              <w:widowControl/>
              <w:spacing w:line="240" w:lineRule="exact"/>
              <w:jc w:val="center"/>
              <w:rPr>
                <w:rFonts w:hint="eastAsia" w:ascii="仿宋_GB2312" w:hAnsi="宋体" w:eastAsia="仿宋_GB2312" w:cs="宋体"/>
                <w:kern w:val="0"/>
                <w:szCs w:val="21"/>
              </w:rPr>
            </w:pPr>
          </w:p>
        </w:tc>
      </w:tr>
      <w:tr w14:paraId="683CB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exact"/>
          <w:jc w:val="center"/>
        </w:trPr>
        <w:tc>
          <w:tcPr>
            <w:tcW w:w="1583" w:type="dxa"/>
            <w:vMerge w:val="continue"/>
            <w:vAlign w:val="center"/>
          </w:tcPr>
          <w:p w14:paraId="7C5A73F9">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35200022">
            <w:pPr>
              <w:widowControl/>
              <w:spacing w:line="240" w:lineRule="exact"/>
              <w:jc w:val="center"/>
              <w:rPr>
                <w:rFonts w:hint="eastAsia" w:ascii="仿宋_GB2312" w:hAnsi="宋体" w:eastAsia="仿宋_GB2312" w:cs="宋体"/>
                <w:kern w:val="0"/>
                <w:szCs w:val="21"/>
              </w:rPr>
            </w:pPr>
          </w:p>
        </w:tc>
        <w:tc>
          <w:tcPr>
            <w:tcW w:w="1105" w:type="dxa"/>
            <w:vMerge w:val="continue"/>
            <w:vAlign w:val="center"/>
          </w:tcPr>
          <w:p w14:paraId="27B1E8C0">
            <w:pPr>
              <w:widowControl/>
              <w:spacing w:line="240" w:lineRule="exact"/>
              <w:jc w:val="center"/>
              <w:rPr>
                <w:rFonts w:hint="eastAsia" w:ascii="仿宋_GB2312" w:hAnsi="宋体" w:eastAsia="仿宋_GB2312" w:cs="宋体"/>
                <w:kern w:val="0"/>
                <w:szCs w:val="21"/>
              </w:rPr>
            </w:pPr>
          </w:p>
        </w:tc>
        <w:tc>
          <w:tcPr>
            <w:tcW w:w="2137" w:type="dxa"/>
            <w:gridSpan w:val="3"/>
            <w:vAlign w:val="center"/>
          </w:tcPr>
          <w:p w14:paraId="6F3AE3C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知识产权纠纷人民调解委员会案件调解成功率</w:t>
            </w:r>
          </w:p>
        </w:tc>
        <w:tc>
          <w:tcPr>
            <w:tcW w:w="849" w:type="dxa"/>
            <w:vAlign w:val="center"/>
          </w:tcPr>
          <w:p w14:paraId="4140C420">
            <w:pPr>
              <w:jc w:val="center"/>
              <w:rPr>
                <w:rFonts w:hint="eastAsia" w:ascii="仿宋_GB2312" w:hAnsi="宋体" w:eastAsia="仿宋_GB2312" w:cs="宋体"/>
                <w:kern w:val="0"/>
                <w:szCs w:val="21"/>
              </w:rPr>
            </w:pPr>
            <w:r>
              <w:rPr>
                <w:rFonts w:hint="eastAsia" w:ascii="仿宋_GB2312" w:hAnsi="宋体" w:eastAsia="仿宋_GB2312" w:cs="宋体"/>
                <w:kern w:val="0"/>
                <w:szCs w:val="21"/>
              </w:rPr>
              <w:t>≥60</w:t>
            </w:r>
            <w:r>
              <w:rPr>
                <w:rFonts w:ascii="仿宋_GB2312" w:hAnsi="宋体" w:eastAsia="仿宋_GB2312" w:cs="宋体"/>
                <w:kern w:val="0"/>
                <w:szCs w:val="21"/>
              </w:rPr>
              <w:t>%</w:t>
            </w:r>
          </w:p>
        </w:tc>
        <w:tc>
          <w:tcPr>
            <w:tcW w:w="1084" w:type="dxa"/>
            <w:vAlign w:val="center"/>
          </w:tcPr>
          <w:p w14:paraId="6CB0C51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77.6%</w:t>
            </w:r>
          </w:p>
        </w:tc>
        <w:tc>
          <w:tcPr>
            <w:tcW w:w="484" w:type="dxa"/>
            <w:gridSpan w:val="2"/>
            <w:vAlign w:val="center"/>
          </w:tcPr>
          <w:p w14:paraId="54859F1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2534A43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vAlign w:val="center"/>
          </w:tcPr>
          <w:p w14:paraId="6F8BFB83">
            <w:pPr>
              <w:widowControl/>
              <w:spacing w:line="240" w:lineRule="exact"/>
              <w:jc w:val="center"/>
              <w:rPr>
                <w:rFonts w:hint="eastAsia" w:ascii="仿宋_GB2312" w:hAnsi="宋体" w:eastAsia="仿宋_GB2312" w:cs="宋体"/>
                <w:kern w:val="0"/>
                <w:szCs w:val="21"/>
              </w:rPr>
            </w:pPr>
          </w:p>
        </w:tc>
      </w:tr>
      <w:tr w14:paraId="7C33F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exact"/>
          <w:jc w:val="center"/>
        </w:trPr>
        <w:tc>
          <w:tcPr>
            <w:tcW w:w="1583" w:type="dxa"/>
            <w:vMerge w:val="continue"/>
            <w:vAlign w:val="center"/>
          </w:tcPr>
          <w:p w14:paraId="7C9C3619">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0FD45977">
            <w:pPr>
              <w:widowControl/>
              <w:spacing w:line="240" w:lineRule="exact"/>
              <w:jc w:val="center"/>
              <w:rPr>
                <w:rFonts w:hint="eastAsia" w:ascii="仿宋_GB2312" w:hAnsi="宋体" w:eastAsia="仿宋_GB2312" w:cs="宋体"/>
                <w:kern w:val="0"/>
                <w:szCs w:val="21"/>
              </w:rPr>
            </w:pPr>
          </w:p>
        </w:tc>
        <w:tc>
          <w:tcPr>
            <w:tcW w:w="1105" w:type="dxa"/>
            <w:vMerge w:val="restart"/>
            <w:vAlign w:val="center"/>
          </w:tcPr>
          <w:p w14:paraId="6078F1C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vAlign w:val="center"/>
          </w:tcPr>
          <w:p w14:paraId="1AE097C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1-8月支出进度</w:t>
            </w:r>
          </w:p>
        </w:tc>
        <w:tc>
          <w:tcPr>
            <w:tcW w:w="849" w:type="dxa"/>
            <w:vAlign w:val="center"/>
          </w:tcPr>
          <w:p w14:paraId="352B1BB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≥60%</w:t>
            </w:r>
          </w:p>
        </w:tc>
        <w:tc>
          <w:tcPr>
            <w:tcW w:w="1084" w:type="dxa"/>
            <w:vAlign w:val="center"/>
          </w:tcPr>
          <w:p w14:paraId="51D1EE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截至</w:t>
            </w:r>
            <w:r>
              <w:rPr>
                <w:rFonts w:ascii="仿宋_GB2312" w:hAnsi="宋体" w:eastAsia="仿宋_GB2312" w:cs="宋体"/>
                <w:kern w:val="0"/>
                <w:szCs w:val="21"/>
              </w:rPr>
              <w:t>8</w:t>
            </w:r>
            <w:r>
              <w:rPr>
                <w:rFonts w:hint="eastAsia" w:ascii="仿宋_GB2312" w:hAnsi="宋体" w:eastAsia="仿宋_GB2312" w:cs="宋体"/>
                <w:kern w:val="0"/>
                <w:szCs w:val="21"/>
              </w:rPr>
              <w:t>月底支出75.54%</w:t>
            </w:r>
          </w:p>
        </w:tc>
        <w:tc>
          <w:tcPr>
            <w:tcW w:w="484" w:type="dxa"/>
            <w:gridSpan w:val="2"/>
            <w:vAlign w:val="center"/>
          </w:tcPr>
          <w:p w14:paraId="7DB6995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61262C7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vAlign w:val="center"/>
          </w:tcPr>
          <w:p w14:paraId="1085E878">
            <w:pPr>
              <w:widowControl/>
              <w:spacing w:line="240" w:lineRule="exact"/>
              <w:jc w:val="center"/>
              <w:rPr>
                <w:rFonts w:hint="eastAsia" w:ascii="仿宋_GB2312" w:hAnsi="宋体" w:eastAsia="仿宋_GB2312" w:cs="宋体"/>
                <w:kern w:val="0"/>
                <w:szCs w:val="21"/>
              </w:rPr>
            </w:pPr>
          </w:p>
        </w:tc>
      </w:tr>
      <w:tr w14:paraId="14D9E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exact"/>
          <w:jc w:val="center"/>
        </w:trPr>
        <w:tc>
          <w:tcPr>
            <w:tcW w:w="1583" w:type="dxa"/>
            <w:vMerge w:val="continue"/>
            <w:vAlign w:val="center"/>
          </w:tcPr>
          <w:p w14:paraId="71D950DA">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38FFBDF2">
            <w:pPr>
              <w:widowControl/>
              <w:spacing w:line="240" w:lineRule="exact"/>
              <w:jc w:val="center"/>
              <w:rPr>
                <w:rFonts w:hint="eastAsia" w:ascii="仿宋_GB2312" w:hAnsi="宋体" w:eastAsia="仿宋_GB2312" w:cs="宋体"/>
                <w:kern w:val="0"/>
                <w:szCs w:val="21"/>
              </w:rPr>
            </w:pPr>
          </w:p>
        </w:tc>
        <w:tc>
          <w:tcPr>
            <w:tcW w:w="1105" w:type="dxa"/>
            <w:vMerge w:val="continue"/>
            <w:vAlign w:val="center"/>
          </w:tcPr>
          <w:p w14:paraId="4626C568">
            <w:pPr>
              <w:widowControl/>
              <w:spacing w:line="240" w:lineRule="exact"/>
              <w:jc w:val="center"/>
              <w:rPr>
                <w:rFonts w:hint="eastAsia" w:ascii="仿宋_GB2312" w:hAnsi="宋体" w:eastAsia="仿宋_GB2312" w:cs="宋体"/>
                <w:kern w:val="0"/>
                <w:szCs w:val="21"/>
              </w:rPr>
            </w:pPr>
          </w:p>
        </w:tc>
        <w:tc>
          <w:tcPr>
            <w:tcW w:w="2137" w:type="dxa"/>
            <w:gridSpan w:val="3"/>
            <w:vAlign w:val="center"/>
          </w:tcPr>
          <w:p w14:paraId="586FEE1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9-12月支出进度</w:t>
            </w:r>
          </w:p>
        </w:tc>
        <w:tc>
          <w:tcPr>
            <w:tcW w:w="849" w:type="dxa"/>
            <w:vAlign w:val="center"/>
          </w:tcPr>
          <w:p w14:paraId="590EA56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1084" w:type="dxa"/>
            <w:vAlign w:val="center"/>
          </w:tcPr>
          <w:p w14:paraId="21EB41B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截至12月底支出95.84%</w:t>
            </w:r>
          </w:p>
        </w:tc>
        <w:tc>
          <w:tcPr>
            <w:tcW w:w="484" w:type="dxa"/>
            <w:gridSpan w:val="2"/>
            <w:vAlign w:val="center"/>
          </w:tcPr>
          <w:p w14:paraId="5945149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4A34FD5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vAlign w:val="center"/>
          </w:tcPr>
          <w:p w14:paraId="6DE8BE4F">
            <w:pPr>
              <w:widowControl/>
              <w:spacing w:line="240" w:lineRule="exact"/>
              <w:jc w:val="center"/>
              <w:rPr>
                <w:rFonts w:hint="eastAsia" w:ascii="仿宋_GB2312" w:hAnsi="宋体" w:eastAsia="仿宋_GB2312" w:cs="宋体"/>
                <w:kern w:val="0"/>
                <w:szCs w:val="21"/>
              </w:rPr>
            </w:pPr>
          </w:p>
        </w:tc>
      </w:tr>
      <w:tr w14:paraId="5C771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exact"/>
          <w:jc w:val="center"/>
        </w:trPr>
        <w:tc>
          <w:tcPr>
            <w:tcW w:w="1583" w:type="dxa"/>
            <w:vMerge w:val="continue"/>
            <w:vAlign w:val="center"/>
          </w:tcPr>
          <w:p w14:paraId="05B17399">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03AC581A">
            <w:pPr>
              <w:widowControl/>
              <w:spacing w:line="240" w:lineRule="exact"/>
              <w:jc w:val="center"/>
              <w:rPr>
                <w:rFonts w:hint="eastAsia" w:ascii="仿宋_GB2312" w:hAnsi="宋体" w:eastAsia="仿宋_GB2312" w:cs="宋体"/>
                <w:kern w:val="0"/>
                <w:szCs w:val="21"/>
              </w:rPr>
            </w:pPr>
          </w:p>
        </w:tc>
        <w:tc>
          <w:tcPr>
            <w:tcW w:w="1105" w:type="dxa"/>
            <w:vAlign w:val="center"/>
          </w:tcPr>
          <w:p w14:paraId="05BC94A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vAlign w:val="center"/>
          </w:tcPr>
          <w:p w14:paraId="2EA038F1">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849" w:type="dxa"/>
            <w:vAlign w:val="center"/>
          </w:tcPr>
          <w:p w14:paraId="53B540B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308.2</w:t>
            </w:r>
            <w:r>
              <w:rPr>
                <w:rFonts w:hint="eastAsia" w:ascii="仿宋_GB2312" w:hAnsi="宋体" w:eastAsia="仿宋_GB2312" w:cs="宋体"/>
                <w:kern w:val="0"/>
                <w:szCs w:val="21"/>
              </w:rPr>
              <w:t>万元</w:t>
            </w:r>
          </w:p>
        </w:tc>
        <w:tc>
          <w:tcPr>
            <w:tcW w:w="1084" w:type="dxa"/>
            <w:vAlign w:val="center"/>
          </w:tcPr>
          <w:p w14:paraId="6B801A5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295.</w:t>
            </w:r>
            <w:r>
              <w:rPr>
                <w:rFonts w:ascii="仿宋_GB2312" w:hAnsi="宋体" w:eastAsia="仿宋_GB2312" w:cs="宋体"/>
                <w:kern w:val="0"/>
                <w:szCs w:val="21"/>
              </w:rPr>
              <w:t>39</w:t>
            </w:r>
            <w:r>
              <w:rPr>
                <w:rFonts w:hint="eastAsia" w:ascii="仿宋_GB2312" w:hAnsi="宋体" w:eastAsia="仿宋_GB2312" w:cs="宋体"/>
                <w:kern w:val="0"/>
                <w:szCs w:val="21"/>
              </w:rPr>
              <w:t>万元</w:t>
            </w:r>
          </w:p>
        </w:tc>
        <w:tc>
          <w:tcPr>
            <w:tcW w:w="484" w:type="dxa"/>
            <w:gridSpan w:val="2"/>
            <w:vAlign w:val="center"/>
          </w:tcPr>
          <w:p w14:paraId="2C7FA3D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701" w:type="dxa"/>
            <w:gridSpan w:val="2"/>
            <w:vAlign w:val="center"/>
          </w:tcPr>
          <w:p w14:paraId="37BC80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2075" w:type="dxa"/>
            <w:gridSpan w:val="2"/>
            <w:vAlign w:val="center"/>
          </w:tcPr>
          <w:p w14:paraId="55A956E3">
            <w:pPr>
              <w:widowControl/>
              <w:spacing w:line="240" w:lineRule="exact"/>
              <w:jc w:val="center"/>
              <w:rPr>
                <w:rFonts w:hint="eastAsia" w:ascii="仿宋_GB2312" w:hAnsi="宋体" w:eastAsia="仿宋_GB2312" w:cs="宋体"/>
                <w:kern w:val="0"/>
                <w:szCs w:val="21"/>
              </w:rPr>
            </w:pPr>
          </w:p>
        </w:tc>
      </w:tr>
      <w:tr w14:paraId="02DC9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exact"/>
          <w:jc w:val="center"/>
        </w:trPr>
        <w:tc>
          <w:tcPr>
            <w:tcW w:w="1583" w:type="dxa"/>
            <w:vMerge w:val="continue"/>
            <w:vAlign w:val="center"/>
          </w:tcPr>
          <w:p w14:paraId="5F663AF0">
            <w:pPr>
              <w:widowControl/>
              <w:spacing w:line="240" w:lineRule="exact"/>
              <w:jc w:val="center"/>
              <w:rPr>
                <w:rFonts w:hint="eastAsia" w:ascii="仿宋_GB2312" w:hAnsi="宋体" w:eastAsia="仿宋_GB2312" w:cs="宋体"/>
                <w:kern w:val="0"/>
                <w:szCs w:val="21"/>
              </w:rPr>
            </w:pPr>
          </w:p>
        </w:tc>
        <w:tc>
          <w:tcPr>
            <w:tcW w:w="975" w:type="dxa"/>
            <w:vMerge w:val="restart"/>
            <w:vAlign w:val="center"/>
          </w:tcPr>
          <w:p w14:paraId="6FEFFF0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Align w:val="center"/>
          </w:tcPr>
          <w:p w14:paraId="651864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14:paraId="73E1AB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vAlign w:val="center"/>
          </w:tcPr>
          <w:p w14:paraId="3E921AB1">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有效降低权利人的维权成本；缩短权利人维权所花费的时间；提高权利人维权的便利度。</w:t>
            </w:r>
          </w:p>
        </w:tc>
        <w:tc>
          <w:tcPr>
            <w:tcW w:w="849" w:type="dxa"/>
            <w:vAlign w:val="center"/>
          </w:tcPr>
          <w:p w14:paraId="42DF1C91">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优良中低差</w:t>
            </w:r>
          </w:p>
          <w:p w14:paraId="0457C53D">
            <w:pPr>
              <w:widowControl/>
              <w:spacing w:line="240" w:lineRule="exact"/>
              <w:jc w:val="center"/>
              <w:rPr>
                <w:rFonts w:hint="eastAsia" w:ascii="仿宋_GB2312" w:hAnsi="宋体" w:eastAsia="仿宋_GB2312" w:cs="宋体"/>
                <w:color w:val="000000"/>
                <w:kern w:val="0"/>
                <w:szCs w:val="21"/>
              </w:rPr>
            </w:pPr>
          </w:p>
        </w:tc>
        <w:tc>
          <w:tcPr>
            <w:tcW w:w="1084" w:type="dxa"/>
            <w:vAlign w:val="center"/>
          </w:tcPr>
          <w:p w14:paraId="363671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484" w:type="dxa"/>
            <w:gridSpan w:val="2"/>
            <w:vAlign w:val="center"/>
          </w:tcPr>
          <w:p w14:paraId="61AC37A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01" w:type="dxa"/>
            <w:gridSpan w:val="2"/>
            <w:vAlign w:val="center"/>
          </w:tcPr>
          <w:p w14:paraId="26DEDAF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2075" w:type="dxa"/>
            <w:gridSpan w:val="2"/>
            <w:vAlign w:val="center"/>
          </w:tcPr>
          <w:p w14:paraId="4E8296B6">
            <w:pPr>
              <w:widowControl/>
              <w:spacing w:line="240" w:lineRule="exact"/>
              <w:jc w:val="center"/>
              <w:rPr>
                <w:rFonts w:hint="eastAsia" w:ascii="仿宋_GB2312" w:hAnsi="宋体" w:eastAsia="仿宋_GB2312" w:cs="宋体"/>
                <w:kern w:val="0"/>
                <w:szCs w:val="21"/>
              </w:rPr>
            </w:pPr>
          </w:p>
        </w:tc>
      </w:tr>
      <w:tr w14:paraId="127FB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7" w:hRule="exact"/>
          <w:jc w:val="center"/>
        </w:trPr>
        <w:tc>
          <w:tcPr>
            <w:tcW w:w="1583" w:type="dxa"/>
            <w:vMerge w:val="continue"/>
            <w:vAlign w:val="center"/>
          </w:tcPr>
          <w:p w14:paraId="637F5EDD">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14:paraId="28674265">
            <w:pPr>
              <w:widowControl/>
              <w:spacing w:line="240" w:lineRule="exact"/>
              <w:jc w:val="center"/>
              <w:rPr>
                <w:rFonts w:hint="eastAsia" w:ascii="仿宋_GB2312" w:hAnsi="宋体" w:eastAsia="仿宋_GB2312" w:cs="宋体"/>
                <w:kern w:val="0"/>
                <w:szCs w:val="21"/>
              </w:rPr>
            </w:pPr>
          </w:p>
        </w:tc>
        <w:tc>
          <w:tcPr>
            <w:tcW w:w="1105" w:type="dxa"/>
            <w:vAlign w:val="center"/>
          </w:tcPr>
          <w:p w14:paraId="1C6ADBB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4A7B7F6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vAlign w:val="center"/>
          </w:tcPr>
          <w:p w14:paraId="7ED270CB">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kern w:val="0"/>
                <w:szCs w:val="21"/>
              </w:rPr>
              <w:t>缓解司法、行政部门的压力，分流部分案件；降低整体经济运行成本，为首都进一步优化营商和创新环境，实现高质量发展提供重要支撑。</w:t>
            </w:r>
          </w:p>
        </w:tc>
        <w:tc>
          <w:tcPr>
            <w:tcW w:w="849" w:type="dxa"/>
            <w:vAlign w:val="center"/>
          </w:tcPr>
          <w:p w14:paraId="6A3E23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优良中低差</w:t>
            </w:r>
          </w:p>
        </w:tc>
        <w:tc>
          <w:tcPr>
            <w:tcW w:w="1084" w:type="dxa"/>
            <w:vAlign w:val="center"/>
          </w:tcPr>
          <w:p w14:paraId="6CEB1DC7">
            <w:pPr>
              <w:widowControl/>
              <w:spacing w:line="240" w:lineRule="exact"/>
              <w:jc w:val="center"/>
              <w:rPr>
                <w:rFonts w:hint="eastAsia" w:ascii="仿宋_GB2312" w:hAnsi="宋体" w:eastAsia="仿宋_GB2312" w:cs="宋体"/>
                <w:kern w:val="0"/>
                <w:szCs w:val="21"/>
                <w:highlight w:val="yellow"/>
              </w:rPr>
            </w:pPr>
            <w:r>
              <w:rPr>
                <w:rFonts w:hint="eastAsia" w:ascii="仿宋_GB2312" w:hAnsi="宋体" w:eastAsia="仿宋_GB2312" w:cs="宋体"/>
                <w:kern w:val="0"/>
                <w:szCs w:val="21"/>
              </w:rPr>
              <w:t>优</w:t>
            </w:r>
          </w:p>
        </w:tc>
        <w:tc>
          <w:tcPr>
            <w:tcW w:w="484" w:type="dxa"/>
            <w:gridSpan w:val="2"/>
            <w:vAlign w:val="center"/>
          </w:tcPr>
          <w:p w14:paraId="12E2402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01" w:type="dxa"/>
            <w:gridSpan w:val="2"/>
            <w:vAlign w:val="center"/>
          </w:tcPr>
          <w:p w14:paraId="0CC3B82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2075" w:type="dxa"/>
            <w:gridSpan w:val="2"/>
            <w:vAlign w:val="center"/>
          </w:tcPr>
          <w:p w14:paraId="4B7CEC3D">
            <w:pPr>
              <w:widowControl/>
              <w:spacing w:line="240" w:lineRule="exact"/>
              <w:jc w:val="center"/>
              <w:rPr>
                <w:rFonts w:hint="eastAsia" w:ascii="仿宋_GB2312" w:hAnsi="宋体" w:eastAsia="仿宋_GB2312" w:cs="宋体"/>
                <w:kern w:val="0"/>
                <w:szCs w:val="21"/>
              </w:rPr>
            </w:pPr>
          </w:p>
        </w:tc>
      </w:tr>
      <w:tr w14:paraId="556C2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7733" w:type="dxa"/>
            <w:gridSpan w:val="8"/>
            <w:vAlign w:val="center"/>
          </w:tcPr>
          <w:p w14:paraId="4896A91A">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484" w:type="dxa"/>
            <w:gridSpan w:val="2"/>
            <w:vAlign w:val="center"/>
          </w:tcPr>
          <w:p w14:paraId="56E23777">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01" w:type="dxa"/>
            <w:gridSpan w:val="2"/>
            <w:vAlign w:val="center"/>
          </w:tcPr>
          <w:p w14:paraId="3F76B516">
            <w:pPr>
              <w:widowControl/>
              <w:spacing w:line="240" w:lineRule="exact"/>
              <w:jc w:val="center"/>
              <w:rPr>
                <w:rFonts w:hint="eastAsia" w:ascii="仿宋_GB2312" w:hAnsi="宋体" w:eastAsia="仿宋_GB2312" w:cs="宋体"/>
                <w:color w:val="000000"/>
                <w:kern w:val="0"/>
                <w:szCs w:val="21"/>
              </w:rPr>
            </w:pPr>
            <w:r>
              <w:rPr>
                <w:rFonts w:ascii="仿宋_GB2312" w:hAnsi="宋体" w:eastAsia="仿宋_GB2312" w:cs="宋体"/>
                <w:color w:val="000000"/>
                <w:kern w:val="0"/>
                <w:szCs w:val="21"/>
              </w:rPr>
              <w:t>99.08</w:t>
            </w:r>
          </w:p>
        </w:tc>
        <w:tc>
          <w:tcPr>
            <w:tcW w:w="2075" w:type="dxa"/>
            <w:gridSpan w:val="2"/>
            <w:vAlign w:val="center"/>
          </w:tcPr>
          <w:p w14:paraId="480DD333">
            <w:pPr>
              <w:widowControl/>
              <w:spacing w:line="240" w:lineRule="exact"/>
              <w:jc w:val="center"/>
              <w:rPr>
                <w:rFonts w:hint="eastAsia" w:ascii="仿宋_GB2312" w:hAnsi="宋体" w:eastAsia="仿宋_GB2312" w:cs="宋体"/>
                <w:kern w:val="0"/>
                <w:szCs w:val="21"/>
              </w:rPr>
            </w:pPr>
          </w:p>
        </w:tc>
      </w:tr>
    </w:tbl>
    <w:p w14:paraId="0AA61D93">
      <w:pPr>
        <w:rPr>
          <w:rFonts w:ascii="仿宋_GB2312" w:eastAsia="仿宋_GB2312"/>
          <w:vanish/>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66CAA">
    <w:pPr>
      <w:pStyle w:val="5"/>
      <w:jc w:val="right"/>
      <w:rPr>
        <w:rFonts w:hint="eastAsia" w:ascii="宋体" w:hAnsi="宋体"/>
        <w:sz w:val="28"/>
        <w:szCs w:val="28"/>
      </w:rPr>
    </w:pPr>
  </w:p>
  <w:p w14:paraId="25A5E388">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yMmI0NTNlZWQyYWY3Yjk4MmIwOTEyZDUyYjVhNGIifQ=="/>
  </w:docVars>
  <w:rsids>
    <w:rsidRoot w:val="F77F09F4"/>
    <w:rsid w:val="00000846"/>
    <w:rsid w:val="00006B37"/>
    <w:rsid w:val="00013ABE"/>
    <w:rsid w:val="000304B7"/>
    <w:rsid w:val="00084A23"/>
    <w:rsid w:val="000E6AD9"/>
    <w:rsid w:val="000E7530"/>
    <w:rsid w:val="000F0F86"/>
    <w:rsid w:val="00193C39"/>
    <w:rsid w:val="001C72E4"/>
    <w:rsid w:val="00234DC9"/>
    <w:rsid w:val="00252E80"/>
    <w:rsid w:val="002B4F43"/>
    <w:rsid w:val="002E4DDC"/>
    <w:rsid w:val="0030043B"/>
    <w:rsid w:val="00305507"/>
    <w:rsid w:val="00334566"/>
    <w:rsid w:val="003A5FE7"/>
    <w:rsid w:val="003E7ABD"/>
    <w:rsid w:val="00436113"/>
    <w:rsid w:val="004B2B2A"/>
    <w:rsid w:val="004C7187"/>
    <w:rsid w:val="004E4E69"/>
    <w:rsid w:val="004E4ECF"/>
    <w:rsid w:val="00547C1C"/>
    <w:rsid w:val="0058635D"/>
    <w:rsid w:val="005C693C"/>
    <w:rsid w:val="005D4687"/>
    <w:rsid w:val="00621D31"/>
    <w:rsid w:val="006B3B3D"/>
    <w:rsid w:val="006E0307"/>
    <w:rsid w:val="006E221B"/>
    <w:rsid w:val="006F49E9"/>
    <w:rsid w:val="00742097"/>
    <w:rsid w:val="00757C3E"/>
    <w:rsid w:val="0077283D"/>
    <w:rsid w:val="00805180"/>
    <w:rsid w:val="008538F5"/>
    <w:rsid w:val="008A1F59"/>
    <w:rsid w:val="008B09FB"/>
    <w:rsid w:val="008E3FEA"/>
    <w:rsid w:val="00940205"/>
    <w:rsid w:val="009C0B55"/>
    <w:rsid w:val="00A346D6"/>
    <w:rsid w:val="00A4142F"/>
    <w:rsid w:val="00AC20E3"/>
    <w:rsid w:val="00AC6E09"/>
    <w:rsid w:val="00B46427"/>
    <w:rsid w:val="00BA3BF4"/>
    <w:rsid w:val="00C13B39"/>
    <w:rsid w:val="00C15618"/>
    <w:rsid w:val="00C17C3C"/>
    <w:rsid w:val="00C70837"/>
    <w:rsid w:val="00C70E65"/>
    <w:rsid w:val="00C83EDB"/>
    <w:rsid w:val="00C94954"/>
    <w:rsid w:val="00D12D7C"/>
    <w:rsid w:val="00D61A74"/>
    <w:rsid w:val="00D92CB9"/>
    <w:rsid w:val="00D949AC"/>
    <w:rsid w:val="00D96986"/>
    <w:rsid w:val="00DA226D"/>
    <w:rsid w:val="00DD1706"/>
    <w:rsid w:val="00E03956"/>
    <w:rsid w:val="00E459F6"/>
    <w:rsid w:val="00E74F95"/>
    <w:rsid w:val="00E75318"/>
    <w:rsid w:val="00E82F32"/>
    <w:rsid w:val="00E9266A"/>
    <w:rsid w:val="00EC075B"/>
    <w:rsid w:val="00ED5746"/>
    <w:rsid w:val="00EE1A46"/>
    <w:rsid w:val="00F211EF"/>
    <w:rsid w:val="00F44FA6"/>
    <w:rsid w:val="00F6346A"/>
    <w:rsid w:val="00F7196C"/>
    <w:rsid w:val="00FA1599"/>
    <w:rsid w:val="00FC151F"/>
    <w:rsid w:val="051C683A"/>
    <w:rsid w:val="0657466B"/>
    <w:rsid w:val="081C3EAE"/>
    <w:rsid w:val="08D613F6"/>
    <w:rsid w:val="0BE02133"/>
    <w:rsid w:val="0CF85DDF"/>
    <w:rsid w:val="0E9D27C5"/>
    <w:rsid w:val="0F1503F4"/>
    <w:rsid w:val="0FC63F72"/>
    <w:rsid w:val="0FFC1742"/>
    <w:rsid w:val="1244792F"/>
    <w:rsid w:val="13082AF4"/>
    <w:rsid w:val="152359C3"/>
    <w:rsid w:val="183103F7"/>
    <w:rsid w:val="18621D75"/>
    <w:rsid w:val="18B232E6"/>
    <w:rsid w:val="19C6465A"/>
    <w:rsid w:val="1BAD5FE6"/>
    <w:rsid w:val="1D5232E9"/>
    <w:rsid w:val="1E041A5F"/>
    <w:rsid w:val="1F431B34"/>
    <w:rsid w:val="24084702"/>
    <w:rsid w:val="26712A32"/>
    <w:rsid w:val="292A6EC8"/>
    <w:rsid w:val="2A6D1762"/>
    <w:rsid w:val="306929CC"/>
    <w:rsid w:val="30A87D63"/>
    <w:rsid w:val="30AB6B41"/>
    <w:rsid w:val="30E02CB2"/>
    <w:rsid w:val="347E456C"/>
    <w:rsid w:val="37173543"/>
    <w:rsid w:val="39A15757"/>
    <w:rsid w:val="3A0E7BE9"/>
    <w:rsid w:val="3BD980F6"/>
    <w:rsid w:val="3D255522"/>
    <w:rsid w:val="3D436353"/>
    <w:rsid w:val="3D8449A1"/>
    <w:rsid w:val="3F457245"/>
    <w:rsid w:val="3FF76880"/>
    <w:rsid w:val="454964D0"/>
    <w:rsid w:val="48713F2A"/>
    <w:rsid w:val="49E1317B"/>
    <w:rsid w:val="4A090EAC"/>
    <w:rsid w:val="4B9A0E86"/>
    <w:rsid w:val="4BD44D46"/>
    <w:rsid w:val="4DB702FF"/>
    <w:rsid w:val="508907FE"/>
    <w:rsid w:val="5137416F"/>
    <w:rsid w:val="52FE6B4C"/>
    <w:rsid w:val="541F4FCC"/>
    <w:rsid w:val="5ADA1C4D"/>
    <w:rsid w:val="5BE82147"/>
    <w:rsid w:val="5C2F5FC8"/>
    <w:rsid w:val="5F2C67EF"/>
    <w:rsid w:val="5FFE3A50"/>
    <w:rsid w:val="62E33624"/>
    <w:rsid w:val="65744A4C"/>
    <w:rsid w:val="694F4B70"/>
    <w:rsid w:val="6A8E035E"/>
    <w:rsid w:val="6C353610"/>
    <w:rsid w:val="6D6655C2"/>
    <w:rsid w:val="70820965"/>
    <w:rsid w:val="72510C1D"/>
    <w:rsid w:val="736600CA"/>
    <w:rsid w:val="750162FC"/>
    <w:rsid w:val="75886832"/>
    <w:rsid w:val="769D2054"/>
    <w:rsid w:val="777D8F66"/>
    <w:rsid w:val="780117E1"/>
    <w:rsid w:val="795F67C0"/>
    <w:rsid w:val="7AB7FF50"/>
    <w:rsid w:val="7BBA4E35"/>
    <w:rsid w:val="7BFEB0DB"/>
    <w:rsid w:val="7E6C73B9"/>
    <w:rsid w:val="7F7B6CAB"/>
    <w:rsid w:val="7F9B608E"/>
    <w:rsid w:val="87B271EA"/>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字符"/>
    <w:basedOn w:val="8"/>
    <w:link w:val="4"/>
    <w:qFormat/>
    <w:uiPriority w:val="0"/>
    <w:rPr>
      <w:rFonts w:ascii="Times New Roman" w:hAnsi="Times New Roman" w:eastAsia="宋体" w:cs="Times New Roman"/>
      <w:kern w:val="2"/>
      <w:sz w:val="18"/>
      <w:szCs w:val="18"/>
    </w:rPr>
  </w:style>
  <w:style w:type="paragraph" w:customStyle="1" w:styleId="12">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tyleName="APA" SelectedStyle="\APASixthEditionOfficeOnline.xsl"/>
</file>

<file path=customXml/itemProps1.xml><?xml version="1.0" encoding="utf-8"?>
<ds:datastoreItem xmlns:ds="http://schemas.openxmlformats.org/officeDocument/2006/customXml" ds:itemID="{482179AC-A25D-4458-855A-377CBA4C8D8F}">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3</Pages>
  <Words>667</Words>
  <Characters>748</Characters>
  <Lines>187</Lines>
  <Paragraphs>157</Paragraphs>
  <TotalTime>0</TotalTime>
  <ScaleCrop>false</ScaleCrop>
  <LinksUpToDate>false</LinksUpToDate>
  <CharactersWithSpaces>1258</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2025-09-02T14:16:00Z</dcterms:created>
  <dc:creator>user</dc:creator>
  <cp:lastModifiedBy>user</cp:lastModifiedBy>
  <cp:lastPrinted>2025-03-19T18:09:00Z</cp:lastPrinted>
  <dcterms:modified xsi:type="dcterms:W3CDTF">2025-09-08T16:48:14Z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9A28FC5E98D049A5A52EE0BD7174AE38_13</vt:lpwstr>
  </property>
  <property fmtid="{D5CDD505-2E9C-101B-9397-08002B2CF9AE}" pid="4" name="KSOTemplateDocerSaveRecord">
    <vt:lpwstr>eyJoZGlkIjoiZjVjMDk4MGRlODJlODQ0MmViNmUwMTc4YTBhNDU3OTMiLCJ1c2VySWQiOiIxNDExNjA4NTMzIn0=</vt:lpwstr>
  </property>
</Properties>
</file>