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520" w:lineRule="exact"/>
        <w:ind w:firstLine="0" w:firstLineChars="0"/>
        <w:jc w:val="center"/>
        <w:outlineLvl w:val="0"/>
        <w:rPr>
          <w:rFonts w:hint="eastAsia" w:ascii="方正小标宋简体" w:hAnsi="Times New Roman" w:eastAsia="方正小标宋简体" w:cs="Times New Roman"/>
          <w:kern w:val="2"/>
          <w:sz w:val="44"/>
          <w:szCs w:val="44"/>
          <w:lang w:val="en-US" w:bidi="ar-SA"/>
        </w:rPr>
      </w:pPr>
      <w:bookmarkStart w:id="0" w:name="_Toc31570"/>
      <w:bookmarkStart w:id="1" w:name="_Toc4324"/>
      <w:bookmarkStart w:id="2" w:name="_Toc12550"/>
    </w:p>
    <w:p>
      <w:pPr>
        <w:autoSpaceDE/>
        <w:autoSpaceDN/>
        <w:spacing w:line="520" w:lineRule="exact"/>
        <w:ind w:firstLine="0" w:firstLineChars="0"/>
        <w:jc w:val="center"/>
        <w:outlineLvl w:val="0"/>
        <w:rPr>
          <w:rFonts w:hint="eastAsia" w:ascii="方正小标宋简体" w:hAnsi="Times New Roman" w:eastAsia="方正小标宋简体" w:cs="Times New Roman"/>
          <w:kern w:val="2"/>
          <w:sz w:val="44"/>
          <w:szCs w:val="44"/>
          <w:lang w:val="en-US" w:bidi="ar-SA"/>
        </w:rPr>
      </w:pPr>
    </w:p>
    <w:p>
      <w:pPr>
        <w:autoSpaceDE/>
        <w:autoSpaceDN/>
        <w:spacing w:line="520" w:lineRule="exact"/>
        <w:ind w:firstLine="0" w:firstLineChars="0"/>
        <w:jc w:val="center"/>
        <w:outlineLvl w:val="0"/>
        <w:rPr>
          <w:rFonts w:hint="eastAsia" w:ascii="方正小标宋简体" w:hAnsi="Times New Roman" w:eastAsia="方正小标宋简体" w:cs="Times New Roman"/>
          <w:kern w:val="2"/>
          <w:sz w:val="44"/>
          <w:szCs w:val="44"/>
          <w:lang w:val="en-US" w:bidi="ar-SA"/>
        </w:rPr>
      </w:pPr>
      <w:r>
        <w:rPr>
          <w:rFonts w:hint="eastAsia" w:ascii="方正小标宋简体" w:hAnsi="Times New Roman" w:eastAsia="方正小标宋简体" w:cs="Times New Roman"/>
          <w:kern w:val="2"/>
          <w:sz w:val="44"/>
          <w:szCs w:val="44"/>
          <w:lang w:val="en-US" w:bidi="ar-SA"/>
        </w:rPr>
        <w:t>北京市知识产权质押融资成本分担</w:t>
      </w:r>
    </w:p>
    <w:p>
      <w:pPr>
        <w:autoSpaceDE/>
        <w:autoSpaceDN/>
        <w:spacing w:line="520" w:lineRule="exact"/>
        <w:ind w:firstLine="0" w:firstLineChars="0"/>
        <w:jc w:val="center"/>
        <w:outlineLvl w:val="0"/>
        <w:rPr>
          <w:rFonts w:hint="eastAsia" w:ascii="方正小标宋简体" w:hAnsi="Times New Roman" w:eastAsia="方正小标宋简体" w:cs="Times New Roman"/>
          <w:kern w:val="2"/>
          <w:sz w:val="44"/>
          <w:szCs w:val="44"/>
          <w:lang w:val="en-US" w:bidi="ar-SA"/>
        </w:rPr>
      </w:pPr>
      <w:r>
        <w:rPr>
          <w:rFonts w:hint="eastAsia" w:ascii="方正小标宋简体" w:hAnsi="Times New Roman" w:eastAsia="方正小标宋简体" w:cs="Times New Roman"/>
          <w:kern w:val="2"/>
          <w:sz w:val="44"/>
          <w:szCs w:val="44"/>
          <w:lang w:val="en-US" w:bidi="ar-SA"/>
        </w:rPr>
        <w:t>项目</w:t>
      </w:r>
      <w:bookmarkEnd w:id="0"/>
      <w:bookmarkEnd w:id="1"/>
      <w:bookmarkEnd w:id="2"/>
      <w:bookmarkStart w:id="3" w:name="_Toc24427"/>
      <w:bookmarkStart w:id="4" w:name="_Toc1056"/>
      <w:bookmarkStart w:id="5" w:name="_Toc16510"/>
      <w:r>
        <w:rPr>
          <w:rFonts w:hint="eastAsia" w:ascii="方正小标宋简体" w:hAnsi="Times New Roman" w:eastAsia="方正小标宋简体" w:cs="Times New Roman"/>
          <w:kern w:val="2"/>
          <w:sz w:val="44"/>
          <w:szCs w:val="44"/>
          <w:lang w:val="en-US" w:bidi="ar-SA"/>
        </w:rPr>
        <w:t>绩效评价报告</w:t>
      </w:r>
      <w:bookmarkEnd w:id="3"/>
      <w:bookmarkEnd w:id="4"/>
      <w:bookmarkEnd w:id="5"/>
    </w:p>
    <w:p>
      <w:pPr>
        <w:autoSpaceDE/>
        <w:autoSpaceDN/>
        <w:spacing w:line="520" w:lineRule="exact"/>
        <w:ind w:firstLine="0" w:firstLineChars="0"/>
        <w:jc w:val="center"/>
        <w:outlineLvl w:val="0"/>
        <w:rPr>
          <w:rFonts w:hint="eastAsia" w:ascii="方正小标宋简体" w:hAnsi="Times New Roman" w:eastAsia="方正小标宋简体" w:cs="Times New Roman"/>
          <w:kern w:val="2"/>
          <w:sz w:val="44"/>
          <w:szCs w:val="44"/>
          <w:lang w:val="en-US" w:bidi="ar-SA"/>
        </w:rPr>
      </w:pPr>
    </w:p>
    <w:p>
      <w:pPr>
        <w:pStyle w:val="2"/>
        <w:keepNext w:val="0"/>
        <w:pageBreakBefore w:val="0"/>
        <w:widowControl w:val="0"/>
        <w:kinsoku/>
        <w:wordWrap/>
        <w:overflowPunct/>
        <w:topLinePunct w:val="0"/>
        <w:autoSpaceDE w:val="0"/>
        <w:autoSpaceDN w:val="0"/>
        <w:bidi w:val="0"/>
        <w:adjustRightInd w:val="0"/>
        <w:snapToGrid w:val="0"/>
        <w:textAlignment w:val="auto"/>
      </w:pPr>
      <w:bookmarkStart w:id="6" w:name="_Toc72853474"/>
      <w:bookmarkStart w:id="7" w:name="_Toc3852"/>
      <w:bookmarkStart w:id="8" w:name="_Toc141"/>
      <w:bookmarkStart w:id="9" w:name="_Toc29490"/>
      <w:r>
        <w:rPr>
          <w:rFonts w:hint="eastAsia"/>
        </w:rPr>
        <w:t>一、项目基本情况</w:t>
      </w:r>
      <w:bookmarkEnd w:id="6"/>
      <w:bookmarkEnd w:id="7"/>
      <w:bookmarkEnd w:id="8"/>
      <w:bookmarkEnd w:id="9"/>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10" w:name="（一）项目概况"/>
      <w:bookmarkEnd w:id="10"/>
      <w:bookmarkStart w:id="11" w:name="_bookmark2"/>
      <w:bookmarkEnd w:id="11"/>
      <w:bookmarkStart w:id="12" w:name="_Toc72853475"/>
      <w:bookmarkStart w:id="13" w:name="_Toc10349"/>
      <w:bookmarkStart w:id="14" w:name="_Toc15884"/>
      <w:bookmarkStart w:id="15" w:name="_Toc10364"/>
      <w:r>
        <w:rPr>
          <w:rFonts w:hint="eastAsia" w:ascii="楷体_GB2312" w:hAnsi="楷体_GB2312" w:eastAsia="楷体_GB2312" w:cs="楷体_GB2312"/>
          <w:b w:val="0"/>
          <w:bCs/>
          <w:lang w:val="en-US" w:eastAsia="zh-CN"/>
        </w:rPr>
        <w:t>（一）项目概况</w:t>
      </w:r>
      <w:bookmarkEnd w:id="12"/>
      <w:bookmarkEnd w:id="13"/>
      <w:bookmarkEnd w:id="14"/>
      <w:bookmarkEnd w:id="15"/>
    </w:p>
    <w:p>
      <w:pPr>
        <w:pStyle w:val="4"/>
        <w:keepNext w:val="0"/>
        <w:pageBreakBefore w:val="0"/>
        <w:widowControl w:val="0"/>
        <w:kinsoku/>
        <w:wordWrap/>
        <w:overflowPunct/>
        <w:topLinePunct w:val="0"/>
        <w:autoSpaceDE w:val="0"/>
        <w:autoSpaceDN w:val="0"/>
        <w:bidi w:val="0"/>
        <w:adjustRightInd w:val="0"/>
        <w:snapToGrid w:val="0"/>
        <w:textAlignment w:val="auto"/>
        <w:rPr>
          <w:rFonts w:hint="eastAsia" w:ascii="仿宋_GB2312" w:hAnsi="Times New Roman" w:eastAsia="仿宋_GB2312" w:cs="仿宋_GB2312"/>
          <w:b w:val="0"/>
          <w:bCs/>
          <w:sz w:val="32"/>
          <w:szCs w:val="32"/>
          <w:lang w:val="en-US" w:eastAsia="zh-CN" w:bidi="zh-CN"/>
        </w:rPr>
      </w:pPr>
      <w:bookmarkStart w:id="16" w:name="1.项目背景及内容"/>
      <w:bookmarkEnd w:id="16"/>
      <w:bookmarkStart w:id="17" w:name="_Toc118206788"/>
      <w:bookmarkStart w:id="18" w:name="_Toc117871975"/>
      <w:bookmarkStart w:id="19" w:name="_Toc22724"/>
      <w:bookmarkStart w:id="20" w:name="_Toc117872074"/>
      <w:bookmarkStart w:id="21" w:name="_Toc72853477"/>
      <w:r>
        <w:rPr>
          <w:rFonts w:hint="eastAsia" w:hAnsi="Times New Roman" w:cs="Times New Roman"/>
          <w:b w:val="0"/>
          <w:bCs/>
          <w:szCs w:val="32"/>
          <w:lang w:val="en-US" w:eastAsia="zh-CN"/>
        </w:rPr>
        <w:t>2023年4月27日，北京市知识产权局会同市版权局、市经济和信息化局、市财政局、市委金融办（原市金融监管局）、国家金融监督管理总局北京监管局、中国人民银行北京市分行联合发布《关于促进北京市知识产权质押融资服务高质量发展的实施方案》，系统推动北京市知识产权质押融资工作。</w:t>
      </w:r>
      <w:bookmarkEnd w:id="17"/>
      <w:bookmarkEnd w:id="18"/>
      <w:bookmarkEnd w:id="19"/>
      <w:bookmarkEnd w:id="20"/>
      <w:bookmarkEnd w:id="21"/>
      <w:r>
        <w:rPr>
          <w:rFonts w:hint="eastAsia" w:hAnsi="Times New Roman" w:cs="Times New Roman"/>
          <w:b w:val="0"/>
          <w:bCs/>
          <w:szCs w:val="32"/>
          <w:lang w:val="en-US" w:eastAsia="zh-CN"/>
        </w:rPr>
        <w:t>本</w:t>
      </w:r>
      <w:r>
        <w:rPr>
          <w:rFonts w:hint="eastAsia" w:hAnsi="Times New Roman" w:cs="Times New Roman"/>
          <w:b w:val="0"/>
          <w:bCs/>
          <w:szCs w:val="32"/>
          <w:lang w:val="en-US"/>
        </w:rPr>
        <w:t>项目包括知识产权质押贷款贴息、知识产权质押融资综合成本</w:t>
      </w:r>
      <w:r>
        <w:rPr>
          <w:rFonts w:hint="eastAsia" w:hAnsi="Times New Roman" w:cs="Times New Roman"/>
          <w:b w:val="0"/>
          <w:bCs/>
          <w:szCs w:val="32"/>
          <w:lang w:val="en-US" w:eastAsia="zh-CN"/>
        </w:rPr>
        <w:t>补贴</w:t>
      </w:r>
      <w:r>
        <w:rPr>
          <w:rFonts w:hint="eastAsia" w:hAnsi="Times New Roman" w:cs="Times New Roman"/>
          <w:b w:val="0"/>
          <w:bCs/>
          <w:szCs w:val="32"/>
          <w:lang w:val="en-US"/>
        </w:rPr>
        <w:t>、知识产权质押融资风险补偿</w:t>
      </w:r>
      <w:r>
        <w:rPr>
          <w:rFonts w:hint="eastAsia" w:hAnsi="Times New Roman" w:cs="Times New Roman"/>
          <w:b w:val="0"/>
          <w:bCs/>
          <w:szCs w:val="32"/>
          <w:lang w:val="en-US" w:eastAsia="zh-CN"/>
        </w:rPr>
        <w:t>三</w:t>
      </w:r>
      <w:r>
        <w:rPr>
          <w:rFonts w:hint="eastAsia" w:hAnsi="Times New Roman" w:cs="Times New Roman"/>
          <w:b w:val="0"/>
          <w:bCs/>
          <w:szCs w:val="32"/>
          <w:highlight w:val="none"/>
          <w:lang w:val="en-US"/>
        </w:rPr>
        <w:t>部分</w:t>
      </w:r>
      <w:bookmarkStart w:id="22" w:name="_Toc72853478"/>
      <w:r>
        <w:rPr>
          <w:rFonts w:hint="eastAsia" w:ascii="仿宋_GB2312" w:hAnsi="仿宋_GB2312" w:eastAsia="仿宋_GB2312" w:cs="仿宋_GB2312"/>
          <w:b w:val="0"/>
          <w:bCs/>
          <w:sz w:val="32"/>
          <w:szCs w:val="22"/>
        </w:rPr>
        <w:t>。</w:t>
      </w:r>
      <w:bookmarkEnd w:id="22"/>
    </w:p>
    <w:p>
      <w:pPr>
        <w:keepNext w:val="0"/>
        <w:keepLines w:val="0"/>
        <w:pageBreakBefore w:val="0"/>
        <w:widowControl w:val="0"/>
        <w:kinsoku/>
        <w:wordWrap/>
        <w:overflowPunct/>
        <w:topLinePunct w:val="0"/>
        <w:autoSpaceDE w:val="0"/>
        <w:autoSpaceDN w:val="0"/>
        <w:bidi w:val="0"/>
        <w:adjustRightInd w:val="0"/>
        <w:snapToGrid w:val="0"/>
        <w:ind w:firstLine="640"/>
        <w:jc w:val="both"/>
        <w:textAlignment w:val="auto"/>
        <w:rPr>
          <w:lang w:val="en-US"/>
        </w:rPr>
      </w:pPr>
      <w:r>
        <w:rPr>
          <w:rFonts w:hint="eastAsia" w:hAnsi="Times New Roman" w:cs="Times New Roman"/>
          <w:szCs w:val="32"/>
        </w:rPr>
        <w:t>北京市知识产权质押融资成本分担</w:t>
      </w:r>
      <w:r>
        <w:rPr>
          <w:rFonts w:hint="eastAsia" w:hAnsi="Times New Roman" w:cs="Times New Roman"/>
          <w:szCs w:val="32"/>
          <w:lang w:val="en-US"/>
        </w:rPr>
        <w:t>项目</w:t>
      </w:r>
      <w:r>
        <w:rPr>
          <w:rFonts w:hint="eastAsia"/>
          <w:lang w:val="en-US"/>
        </w:rPr>
        <w:t>全年预算资金为4602万元，项目资金全部来源于财政资金。其中，知识产权质押贷款贴息项目经费3600万元、</w:t>
      </w:r>
      <w:r>
        <w:rPr>
          <w:rFonts w:hint="eastAsia"/>
          <w:szCs w:val="32"/>
        </w:rPr>
        <w:t>知识产权质押融资综合成本费用补贴</w:t>
      </w:r>
      <w:r>
        <w:rPr>
          <w:rFonts w:hint="eastAsia"/>
          <w:szCs w:val="32"/>
          <w:lang w:val="en-US"/>
        </w:rPr>
        <w:t>项目经费340万元、</w:t>
      </w:r>
      <w:r>
        <w:rPr>
          <w:rFonts w:hint="eastAsia"/>
          <w:szCs w:val="32"/>
        </w:rPr>
        <w:t>知识产权质押融资风险补偿</w:t>
      </w:r>
      <w:r>
        <w:rPr>
          <w:rFonts w:hint="eastAsia"/>
          <w:szCs w:val="32"/>
          <w:lang w:val="en-US"/>
        </w:rPr>
        <w:t>项目经费660万元、</w:t>
      </w:r>
      <w:r>
        <w:rPr>
          <w:rFonts w:hint="eastAsia"/>
          <w:lang w:val="en-US" w:eastAsia="zh-CN"/>
        </w:rPr>
        <w:t>相关</w:t>
      </w:r>
      <w:r>
        <w:rPr>
          <w:rFonts w:hint="eastAsia"/>
          <w:lang w:val="en-US"/>
        </w:rPr>
        <w:t>工作经费2万元。</w:t>
      </w:r>
    </w:p>
    <w:p>
      <w:pPr>
        <w:pStyle w:val="3"/>
        <w:keepNext w:val="0"/>
        <w:keepLines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23" w:name="_Toc29263"/>
      <w:bookmarkStart w:id="24" w:name="_Toc20725"/>
      <w:bookmarkStart w:id="25" w:name="_Toc72853480"/>
      <w:bookmarkStart w:id="26" w:name="_Toc27985"/>
      <w:r>
        <w:rPr>
          <w:rFonts w:hint="eastAsia" w:ascii="楷体_GB2312" w:hAnsi="楷体_GB2312" w:eastAsia="楷体_GB2312" w:cs="楷体_GB2312"/>
          <w:b w:val="0"/>
          <w:bCs/>
          <w:lang w:val="en-US" w:eastAsia="zh-CN"/>
        </w:rPr>
        <w:t>（二）项目绩效目标</w:t>
      </w:r>
      <w:bookmarkEnd w:id="23"/>
      <w:bookmarkEnd w:id="24"/>
      <w:bookmarkEnd w:id="25"/>
      <w:bookmarkEnd w:id="26"/>
    </w:p>
    <w:p>
      <w:pPr>
        <w:pStyle w:val="4"/>
        <w:keepNext w:val="0"/>
        <w:keepLines w:val="0"/>
        <w:pageBreakBefore w:val="0"/>
        <w:widowControl w:val="0"/>
        <w:kinsoku/>
        <w:wordWrap/>
        <w:overflowPunct/>
        <w:topLinePunct w:val="0"/>
        <w:autoSpaceDE w:val="0"/>
        <w:autoSpaceDN w:val="0"/>
        <w:bidi w:val="0"/>
        <w:adjustRightInd w:val="0"/>
        <w:snapToGrid w:val="0"/>
        <w:textAlignment w:val="auto"/>
        <w:rPr>
          <w:b w:val="0"/>
          <w:bCs/>
          <w:szCs w:val="32"/>
          <w:lang w:val="en-US"/>
        </w:rPr>
      </w:pPr>
      <w:bookmarkStart w:id="27" w:name="_Toc13903"/>
      <w:bookmarkStart w:id="28" w:name="_Toc20372"/>
      <w:bookmarkStart w:id="29" w:name="_Toc28556"/>
      <w:bookmarkStart w:id="30" w:name="_Toc72853481"/>
      <w:r>
        <w:rPr>
          <w:rFonts w:hint="eastAsia"/>
          <w:lang w:val="en-US"/>
        </w:rPr>
        <w:t>总体目标</w:t>
      </w:r>
      <w:bookmarkEnd w:id="27"/>
      <w:bookmarkEnd w:id="28"/>
      <w:bookmarkEnd w:id="29"/>
      <w:bookmarkEnd w:id="30"/>
      <w:r>
        <w:rPr>
          <w:rFonts w:hint="eastAsia"/>
          <w:lang w:val="en-US" w:eastAsia="zh-CN"/>
        </w:rPr>
        <w:t>：</w:t>
      </w:r>
      <w:r>
        <w:rPr>
          <w:rFonts w:hint="eastAsia"/>
          <w:b w:val="0"/>
          <w:bCs/>
        </w:rPr>
        <w:t>通过知识产权质押融资工作，进一步提高知识产权质押融资的普及度和普惠面，提升本市知识产权质押融资规模，降低企业综合融资成本，促进北京市创新</w:t>
      </w:r>
      <w:r>
        <w:rPr>
          <w:rFonts w:hint="eastAsia"/>
          <w:b w:val="0"/>
          <w:bCs/>
          <w:lang w:val="en-US" w:eastAsia="zh-CN"/>
        </w:rPr>
        <w:t>型</w:t>
      </w:r>
      <w:r>
        <w:rPr>
          <w:rFonts w:hint="eastAsia"/>
          <w:b w:val="0"/>
          <w:bCs/>
        </w:rPr>
        <w:t>中小微企业发展。</w:t>
      </w:r>
      <w:bookmarkStart w:id="31" w:name="_Toc6340"/>
      <w:bookmarkStart w:id="32" w:name="_Toc72853482"/>
      <w:bookmarkStart w:id="33" w:name="_Toc3656"/>
      <w:bookmarkStart w:id="34" w:name="_Toc32429"/>
      <w:bookmarkStart w:id="35" w:name="_Toc72853483"/>
      <w:r>
        <w:rPr>
          <w:rFonts w:hint="eastAsia"/>
          <w:lang w:val="en-US"/>
        </w:rPr>
        <w:t>阶段性目标</w:t>
      </w:r>
      <w:bookmarkEnd w:id="31"/>
      <w:bookmarkEnd w:id="32"/>
      <w:bookmarkEnd w:id="33"/>
      <w:bookmarkEnd w:id="34"/>
      <w:r>
        <w:rPr>
          <w:rFonts w:hint="eastAsia"/>
          <w:lang w:val="en-US" w:eastAsia="zh-CN"/>
        </w:rPr>
        <w:t>：</w:t>
      </w:r>
      <w:r>
        <w:rPr>
          <w:rFonts w:hint="eastAsia"/>
          <w:b w:val="0"/>
          <w:bCs/>
          <w:szCs w:val="32"/>
          <w:lang w:val="en-US"/>
        </w:rPr>
        <w:t>质押融资工作宣传培训触达企业数量不少于</w:t>
      </w:r>
      <w:r>
        <w:rPr>
          <w:rFonts w:hint="eastAsia"/>
          <w:b w:val="0"/>
          <w:bCs/>
          <w:szCs w:val="32"/>
          <w:lang w:val="en-US" w:eastAsia="zh-CN"/>
        </w:rPr>
        <w:t>300</w:t>
      </w:r>
      <w:r>
        <w:rPr>
          <w:rFonts w:hint="eastAsia"/>
          <w:b w:val="0"/>
          <w:bCs/>
          <w:szCs w:val="32"/>
          <w:lang w:val="en-US"/>
        </w:rPr>
        <w:t>家，知识产权质押贷款贴息、知识产权质押融资综合成本费用补贴和知识产权质押融资风险补偿支持企业数量</w:t>
      </w:r>
      <w:r>
        <w:rPr>
          <w:rFonts w:hint="eastAsia"/>
          <w:b w:val="0"/>
          <w:bCs/>
          <w:szCs w:val="32"/>
          <w:lang w:val="en-US" w:eastAsia="zh-CN"/>
        </w:rPr>
        <w:t>不少于100家</w:t>
      </w:r>
      <w:r>
        <w:rPr>
          <w:rFonts w:hint="eastAsia"/>
          <w:b w:val="0"/>
          <w:bCs/>
          <w:szCs w:val="32"/>
          <w:lang w:val="en-US"/>
        </w:rPr>
        <w:t>。</w:t>
      </w:r>
    </w:p>
    <w:p>
      <w:pPr>
        <w:pStyle w:val="2"/>
        <w:keepNext w:val="0"/>
        <w:pageBreakBefore w:val="0"/>
        <w:widowControl w:val="0"/>
        <w:kinsoku/>
        <w:wordWrap/>
        <w:overflowPunct/>
        <w:topLinePunct w:val="0"/>
        <w:autoSpaceDE w:val="0"/>
        <w:autoSpaceDN w:val="0"/>
        <w:bidi w:val="0"/>
        <w:adjustRightInd w:val="0"/>
        <w:snapToGrid w:val="0"/>
        <w:ind w:firstLine="640"/>
        <w:textAlignment w:val="auto"/>
        <w:rPr>
          <w:lang w:val="en-US"/>
        </w:rPr>
      </w:pPr>
      <w:bookmarkStart w:id="36" w:name="_Toc842"/>
      <w:bookmarkStart w:id="37" w:name="_Toc17959"/>
      <w:bookmarkStart w:id="38" w:name="_Toc21416"/>
      <w:r>
        <w:rPr>
          <w:rFonts w:hint="eastAsia"/>
          <w:lang w:val="en-US"/>
        </w:rPr>
        <w:t>二、</w:t>
      </w:r>
      <w:r>
        <w:rPr>
          <w:rFonts w:hint="eastAsia"/>
        </w:rPr>
        <w:t>绩效评价工作</w:t>
      </w:r>
      <w:r>
        <w:rPr>
          <w:rFonts w:hint="eastAsia"/>
          <w:lang w:val="en-US"/>
        </w:rPr>
        <w:t>开展情况</w:t>
      </w:r>
      <w:bookmarkEnd w:id="35"/>
      <w:bookmarkEnd w:id="36"/>
      <w:bookmarkEnd w:id="37"/>
      <w:bookmarkEnd w:id="38"/>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39" w:name="_Toc29112"/>
      <w:bookmarkStart w:id="40" w:name="_Toc12287"/>
      <w:bookmarkStart w:id="41" w:name="_Toc72853484"/>
      <w:bookmarkStart w:id="42" w:name="_Toc11795"/>
      <w:r>
        <w:rPr>
          <w:rFonts w:hint="eastAsia" w:ascii="楷体_GB2312" w:hAnsi="楷体_GB2312" w:eastAsia="楷体_GB2312" w:cs="楷体_GB2312"/>
          <w:b w:val="0"/>
          <w:bCs/>
          <w:lang w:val="en-US" w:eastAsia="zh-CN"/>
        </w:rPr>
        <w:t>（一）</w:t>
      </w:r>
      <w:bookmarkEnd w:id="39"/>
      <w:bookmarkEnd w:id="40"/>
      <w:bookmarkEnd w:id="41"/>
      <w:bookmarkEnd w:id="42"/>
      <w:r>
        <w:rPr>
          <w:rFonts w:hint="eastAsia" w:ascii="楷体_GB2312" w:hAnsi="楷体_GB2312" w:eastAsia="楷体_GB2312" w:cs="楷体_GB2312"/>
          <w:b w:val="0"/>
          <w:bCs/>
          <w:lang w:val="en-US" w:eastAsia="zh-CN"/>
        </w:rPr>
        <w:t>绩效评价目的、对象及范围</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b w:val="0"/>
          <w:bCs/>
          <w:sz w:val="30"/>
          <w:szCs w:val="30"/>
          <w:lang w:val="en-US"/>
        </w:rPr>
      </w:pPr>
      <w:bookmarkStart w:id="43" w:name="_Toc8707"/>
      <w:bookmarkStart w:id="44" w:name="_Toc12637"/>
      <w:bookmarkStart w:id="45" w:name="_Toc17714"/>
      <w:bookmarkStart w:id="46" w:name="_Toc72853485"/>
      <w:r>
        <w:rPr>
          <w:rFonts w:hint="eastAsia"/>
          <w:lang w:val="en-US"/>
        </w:rPr>
        <w:t>绩效评价目的</w:t>
      </w:r>
      <w:bookmarkEnd w:id="43"/>
      <w:bookmarkEnd w:id="44"/>
      <w:bookmarkEnd w:id="45"/>
      <w:bookmarkEnd w:id="46"/>
      <w:r>
        <w:rPr>
          <w:rFonts w:hint="eastAsia"/>
          <w:lang w:val="en-US" w:eastAsia="zh-CN"/>
        </w:rPr>
        <w:t>：</w:t>
      </w:r>
      <w:r>
        <w:rPr>
          <w:rFonts w:hint="eastAsia"/>
          <w:b w:val="0"/>
          <w:bCs/>
          <w:lang w:val="en-US"/>
        </w:rPr>
        <w:t>通过完善预算部门的财政支出管理体系，增强部门支出责任和效率意识，提高财政资金使用效益。</w:t>
      </w:r>
      <w:r>
        <w:rPr>
          <w:rFonts w:hint="eastAsia"/>
          <w:lang w:val="en-US"/>
        </w:rPr>
        <w:t>绩效评价对象及范围</w:t>
      </w:r>
      <w:r>
        <w:rPr>
          <w:rFonts w:hint="eastAsia"/>
          <w:lang w:val="en-US" w:eastAsia="zh-CN"/>
        </w:rPr>
        <w:t>：</w:t>
      </w:r>
      <w:r>
        <w:rPr>
          <w:b w:val="0"/>
          <w:bCs/>
          <w:sz w:val="32"/>
          <w:szCs w:val="32"/>
          <w:lang w:val="en-US"/>
        </w:rPr>
        <w:t>本次</w:t>
      </w:r>
      <w:r>
        <w:rPr>
          <w:rFonts w:hint="eastAsia"/>
          <w:b w:val="0"/>
          <w:bCs/>
          <w:sz w:val="32"/>
          <w:szCs w:val="32"/>
          <w:lang w:val="en-US"/>
        </w:rPr>
        <w:t>绩效</w:t>
      </w:r>
      <w:r>
        <w:rPr>
          <w:b w:val="0"/>
          <w:bCs/>
          <w:sz w:val="32"/>
          <w:szCs w:val="32"/>
          <w:lang w:val="en-US"/>
        </w:rPr>
        <w:t>评价对象为</w:t>
      </w:r>
      <w:r>
        <w:rPr>
          <w:rFonts w:hint="eastAsia" w:hAnsi="Times New Roman" w:cs="Times New Roman"/>
          <w:b w:val="0"/>
          <w:bCs/>
          <w:sz w:val="32"/>
          <w:szCs w:val="32"/>
        </w:rPr>
        <w:t>北京市知识产权质押融资成本分担</w:t>
      </w:r>
      <w:r>
        <w:rPr>
          <w:rFonts w:hint="eastAsia" w:hAnsi="Times New Roman" w:cs="Times New Roman"/>
          <w:b w:val="0"/>
          <w:bCs/>
          <w:sz w:val="32"/>
          <w:szCs w:val="32"/>
          <w:lang w:val="en-US"/>
        </w:rPr>
        <w:t>项目</w:t>
      </w:r>
      <w:r>
        <w:rPr>
          <w:b w:val="0"/>
          <w:bCs/>
          <w:sz w:val="32"/>
          <w:szCs w:val="32"/>
          <w:lang w:val="en-US"/>
        </w:rPr>
        <w:t>；评价内容为项目决策情况、项目过程情况</w:t>
      </w:r>
      <w:r>
        <w:rPr>
          <w:rFonts w:hint="eastAsia"/>
          <w:b w:val="0"/>
          <w:bCs/>
          <w:sz w:val="32"/>
          <w:szCs w:val="32"/>
          <w:lang w:val="en-US"/>
        </w:rPr>
        <w:t>、项目产出情况</w:t>
      </w:r>
      <w:r>
        <w:rPr>
          <w:b w:val="0"/>
          <w:bCs/>
          <w:sz w:val="32"/>
          <w:szCs w:val="32"/>
          <w:lang w:val="en-US"/>
        </w:rPr>
        <w:t>以及项目</w:t>
      </w:r>
      <w:r>
        <w:rPr>
          <w:rFonts w:hint="eastAsia"/>
          <w:b w:val="0"/>
          <w:bCs/>
          <w:sz w:val="32"/>
          <w:szCs w:val="32"/>
          <w:lang w:val="en-US"/>
        </w:rPr>
        <w:t>效益</w:t>
      </w:r>
      <w:r>
        <w:rPr>
          <w:b w:val="0"/>
          <w:bCs/>
          <w:sz w:val="32"/>
          <w:szCs w:val="32"/>
          <w:lang w:val="en-US"/>
        </w:rPr>
        <w:t>情况。</w:t>
      </w:r>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47" w:name="_Toc8705"/>
      <w:bookmarkStart w:id="48" w:name="_Toc7607"/>
      <w:bookmarkStart w:id="49" w:name="_Toc72853487"/>
      <w:bookmarkStart w:id="50" w:name="_Toc2483"/>
      <w:r>
        <w:rPr>
          <w:rFonts w:hint="eastAsia" w:ascii="楷体_GB2312" w:hAnsi="楷体_GB2312" w:eastAsia="楷体_GB2312" w:cs="楷体_GB2312"/>
          <w:b w:val="0"/>
          <w:bCs/>
          <w:lang w:val="en-US" w:eastAsia="zh-CN"/>
        </w:rPr>
        <w:t>（二）绩效评价原则及方法</w:t>
      </w:r>
      <w:bookmarkEnd w:id="47"/>
      <w:bookmarkEnd w:id="48"/>
      <w:bookmarkEnd w:id="49"/>
      <w:bookmarkEnd w:id="50"/>
    </w:p>
    <w:p>
      <w:pPr>
        <w:keepNext w:val="0"/>
        <w:pageBreakBefore w:val="0"/>
        <w:widowControl w:val="0"/>
        <w:kinsoku/>
        <w:wordWrap/>
        <w:overflowPunct/>
        <w:topLinePunct w:val="0"/>
        <w:autoSpaceDE w:val="0"/>
        <w:autoSpaceDN w:val="0"/>
        <w:bidi w:val="0"/>
        <w:adjustRightInd w:val="0"/>
        <w:snapToGrid w:val="0"/>
        <w:ind w:firstLine="640"/>
        <w:jc w:val="both"/>
        <w:textAlignment w:val="auto"/>
        <w:rPr>
          <w:lang w:val="en-US"/>
        </w:rPr>
      </w:pPr>
      <w:bookmarkStart w:id="51" w:name="_Toc905"/>
      <w:bookmarkStart w:id="52" w:name="_Toc72853488"/>
      <w:bookmarkStart w:id="53" w:name="_Toc7674"/>
      <w:bookmarkStart w:id="54" w:name="_Toc28108"/>
      <w:r>
        <w:rPr>
          <w:rFonts w:hint="eastAsia"/>
          <w:b/>
          <w:bCs/>
          <w:lang w:val="en-US"/>
        </w:rPr>
        <w:t>评价原则</w:t>
      </w:r>
      <w:bookmarkEnd w:id="51"/>
      <w:bookmarkEnd w:id="52"/>
      <w:bookmarkEnd w:id="53"/>
      <w:bookmarkEnd w:id="54"/>
      <w:r>
        <w:rPr>
          <w:rFonts w:hint="eastAsia"/>
          <w:b/>
          <w:bCs/>
          <w:lang w:val="en-US" w:eastAsia="zh-CN"/>
        </w:rPr>
        <w:t>：</w:t>
      </w:r>
      <w:r>
        <w:rPr>
          <w:rFonts w:hint="eastAsia"/>
          <w:lang w:val="en-US" w:eastAsia="zh-CN"/>
        </w:rPr>
        <w:t>本次评价按照</w:t>
      </w:r>
      <w:r>
        <w:rPr>
          <w:rFonts w:hint="eastAsia"/>
          <w:b w:val="0"/>
          <w:bCs w:val="0"/>
        </w:rPr>
        <w:t>科学规范原则</w:t>
      </w:r>
      <w:r>
        <w:rPr>
          <w:rFonts w:hint="eastAsia"/>
          <w:b w:val="0"/>
          <w:bCs w:val="0"/>
          <w:lang w:eastAsia="zh-CN"/>
        </w:rPr>
        <w:t>、</w:t>
      </w:r>
      <w:r>
        <w:rPr>
          <w:b w:val="0"/>
          <w:bCs w:val="0"/>
        </w:rPr>
        <w:t>公正公开原则</w:t>
      </w:r>
      <w:r>
        <w:rPr>
          <w:rFonts w:hint="eastAsia"/>
          <w:b w:val="0"/>
          <w:bCs w:val="0"/>
          <w:lang w:eastAsia="zh-CN"/>
        </w:rPr>
        <w:t>、</w:t>
      </w:r>
      <w:r>
        <w:rPr>
          <w:b w:val="0"/>
          <w:bCs w:val="0"/>
        </w:rPr>
        <w:t>绩效相关原则</w:t>
      </w:r>
      <w:r>
        <w:rPr>
          <w:rFonts w:hint="eastAsia"/>
          <w:b w:val="0"/>
          <w:bCs w:val="0"/>
          <w:lang w:val="en-US" w:eastAsia="zh-CN"/>
        </w:rPr>
        <w:t>开展工作。</w:t>
      </w:r>
      <w:r>
        <w:rPr>
          <w:rFonts w:hint="eastAsia"/>
          <w:b/>
          <w:bCs/>
          <w:lang w:val="en-US"/>
        </w:rPr>
        <w:t>评价方法</w:t>
      </w:r>
      <w:r>
        <w:rPr>
          <w:rFonts w:hint="eastAsia"/>
          <w:b/>
          <w:bCs/>
          <w:lang w:val="en-US" w:eastAsia="zh-CN"/>
        </w:rPr>
        <w:t>：</w:t>
      </w:r>
      <w:r>
        <w:t>本次采用项目单位自评和第三方评价相结合的方式</w:t>
      </w:r>
      <w:r>
        <w:rPr>
          <w:rFonts w:hint="eastAsia"/>
          <w:lang w:eastAsia="zh-CN"/>
        </w:rPr>
        <w:t>。</w:t>
      </w:r>
      <w:r>
        <w:rPr>
          <w:rFonts w:hint="eastAsia"/>
          <w:b/>
          <w:bCs/>
          <w:lang w:val="en-US"/>
        </w:rPr>
        <w:t>评价指标体系</w:t>
      </w:r>
      <w:r>
        <w:rPr>
          <w:rFonts w:hint="eastAsia"/>
          <w:b/>
          <w:bCs/>
          <w:lang w:val="en-US" w:eastAsia="zh-CN"/>
        </w:rPr>
        <w:t>：</w:t>
      </w:r>
      <w:r>
        <w:rPr>
          <w:rFonts w:hint="eastAsia"/>
          <w:lang w:val="en-US" w:eastAsia="zh-CN"/>
        </w:rPr>
        <w:t>本次评价</w:t>
      </w:r>
      <w:r>
        <w:t>共设置</w:t>
      </w:r>
      <w:r>
        <w:rPr>
          <w:rFonts w:hint="eastAsia"/>
          <w:lang w:val="en-US"/>
        </w:rPr>
        <w:t>4</w:t>
      </w:r>
      <w:r>
        <w:t>个一级指标</w:t>
      </w:r>
      <w:r>
        <w:rPr>
          <w:rFonts w:hint="eastAsia"/>
          <w:lang w:eastAsia="zh-CN"/>
        </w:rPr>
        <w:t>、</w:t>
      </w:r>
      <w:r>
        <w:rPr>
          <w:rFonts w:hint="eastAsia"/>
          <w:lang w:val="en-US" w:eastAsia="zh-CN"/>
        </w:rPr>
        <w:t>10个二级指标、17个三级指标、10个四级指标。</w:t>
      </w:r>
      <w:r>
        <w:rPr>
          <w:rFonts w:hint="eastAsia"/>
          <w:b/>
          <w:bCs/>
          <w:lang w:val="en-US"/>
        </w:rPr>
        <w:t>评价标准</w:t>
      </w:r>
      <w:r>
        <w:rPr>
          <w:rFonts w:hint="eastAsia"/>
          <w:b/>
          <w:bCs/>
          <w:lang w:val="en-US" w:eastAsia="zh-CN"/>
        </w:rPr>
        <w:t>：</w:t>
      </w:r>
      <w:r>
        <w:rPr>
          <w:lang w:val="en-US"/>
        </w:rPr>
        <w:t>绩效评价标准通常包括计划标准、行业标准、历史标准等,用于对绩效指标完成情况进行比较。</w:t>
      </w:r>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55" w:name="_Toc72853492"/>
      <w:bookmarkStart w:id="56" w:name="_Toc6179"/>
      <w:bookmarkStart w:id="57" w:name="_Toc22368"/>
      <w:bookmarkStart w:id="58" w:name="_Toc1422"/>
      <w:r>
        <w:rPr>
          <w:rFonts w:hint="eastAsia" w:ascii="楷体_GB2312" w:hAnsi="楷体_GB2312" w:eastAsia="楷体_GB2312" w:cs="楷体_GB2312"/>
          <w:b w:val="0"/>
          <w:bCs/>
          <w:lang w:val="en-US" w:eastAsia="zh-CN"/>
        </w:rPr>
        <w:t>（三）绩效评价工作过程</w:t>
      </w:r>
      <w:bookmarkEnd w:id="55"/>
      <w:bookmarkEnd w:id="56"/>
      <w:bookmarkEnd w:id="57"/>
      <w:bookmarkEnd w:id="58"/>
    </w:p>
    <w:p>
      <w:pPr>
        <w:keepNext w:val="0"/>
        <w:pageBreakBefore w:val="0"/>
        <w:widowControl w:val="0"/>
        <w:kinsoku/>
        <w:wordWrap/>
        <w:overflowPunct/>
        <w:topLinePunct w:val="0"/>
        <w:autoSpaceDE w:val="0"/>
        <w:autoSpaceDN w:val="0"/>
        <w:bidi w:val="0"/>
        <w:adjustRightInd w:val="0"/>
        <w:snapToGrid w:val="0"/>
        <w:ind w:firstLine="640"/>
        <w:jc w:val="both"/>
        <w:textAlignment w:val="auto"/>
        <w:rPr>
          <w:rFonts w:hint="eastAsia"/>
          <w:lang w:val="en-US"/>
        </w:rPr>
      </w:pPr>
      <w:bookmarkStart w:id="59" w:name="_Toc18732"/>
      <w:bookmarkStart w:id="60" w:name="_Toc18269"/>
      <w:bookmarkStart w:id="61" w:name="_Toc16075"/>
      <w:bookmarkStart w:id="62" w:name="_Toc72853493"/>
      <w:bookmarkStart w:id="63" w:name="_Toc72853499"/>
      <w:bookmarkStart w:id="64" w:name="_Toc11153"/>
      <w:bookmarkStart w:id="65" w:name="_Toc11216"/>
      <w:bookmarkStart w:id="66" w:name="_Toc28638"/>
      <w:r>
        <w:rPr>
          <w:rFonts w:hint="eastAsia"/>
          <w:b/>
          <w:bCs/>
          <w:lang w:val="en-US"/>
        </w:rPr>
        <w:t>准备阶段：</w:t>
      </w:r>
      <w:r>
        <w:rPr>
          <w:rFonts w:hint="eastAsia"/>
          <w:lang w:val="en-US"/>
        </w:rPr>
        <w:t>根据绩效评价要求，结合评价对象实际情况收集资料；遴选财务、管理、业务专家组成专家评价工作组；制定绩效评价工作方案，明确绩效评价对象、评价内容、指标体系框架等内容。</w:t>
      </w:r>
      <w:r>
        <w:rPr>
          <w:rFonts w:hint="eastAsia"/>
          <w:b/>
          <w:bCs/>
          <w:lang w:val="en-US"/>
        </w:rPr>
        <w:t>实施阶段：</w:t>
      </w:r>
      <w:r>
        <w:rPr>
          <w:rFonts w:hint="eastAsia"/>
          <w:lang w:val="en-US"/>
        </w:rPr>
        <w:t>对项目申报资料进行审核；汇总初次资料，召开预审会；将补充资料、绩效评价指标体系等会议资料进行整理；组织召开专家评审会，专家听取项目单位汇报，在对项目单位进行提问的基础上，填写专家评分表和意见书。</w:t>
      </w:r>
      <w:r>
        <w:rPr>
          <w:rFonts w:hint="eastAsia"/>
          <w:b/>
          <w:bCs/>
          <w:lang w:val="en-US"/>
        </w:rPr>
        <w:t>总结阶段：</w:t>
      </w:r>
      <w:r>
        <w:rPr>
          <w:rFonts w:hint="eastAsia"/>
          <w:lang w:val="en-US"/>
        </w:rPr>
        <w:t>专家评审会结束后，绩效评价工作组在汇总专家打分和评价意见的基础上，根据北京市财政绩效评价要求撰写绩效评价报告，并根据总结经验及发现的问题，提出改进意见和建议。</w:t>
      </w:r>
    </w:p>
    <w:bookmarkEnd w:id="59"/>
    <w:bookmarkEnd w:id="60"/>
    <w:bookmarkEnd w:id="61"/>
    <w:bookmarkEnd w:id="62"/>
    <w:p>
      <w:pPr>
        <w:pStyle w:val="2"/>
        <w:keepNext w:val="0"/>
        <w:pageBreakBefore w:val="0"/>
        <w:widowControl w:val="0"/>
        <w:kinsoku/>
        <w:wordWrap/>
        <w:overflowPunct/>
        <w:topLinePunct w:val="0"/>
        <w:autoSpaceDE w:val="0"/>
        <w:autoSpaceDN w:val="0"/>
        <w:bidi w:val="0"/>
        <w:adjustRightInd w:val="0"/>
        <w:snapToGrid w:val="0"/>
        <w:ind w:firstLine="640"/>
        <w:textAlignment w:val="auto"/>
        <w:rPr>
          <w:lang w:val="en-US"/>
        </w:rPr>
      </w:pPr>
      <w:r>
        <w:rPr>
          <w:rFonts w:hint="eastAsia"/>
          <w:lang w:val="en-US"/>
        </w:rPr>
        <w:t>三、综合评价情况及评价结论</w:t>
      </w:r>
      <w:bookmarkEnd w:id="63"/>
      <w:bookmarkEnd w:id="64"/>
      <w:bookmarkEnd w:id="65"/>
      <w:bookmarkEnd w:id="66"/>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67" w:name="_Toc9939"/>
      <w:bookmarkStart w:id="68" w:name="_Toc18817"/>
      <w:bookmarkStart w:id="69" w:name="_Toc72853500"/>
      <w:bookmarkStart w:id="70" w:name="_Toc32552"/>
      <w:r>
        <w:rPr>
          <w:rFonts w:hint="eastAsia" w:ascii="楷体_GB2312" w:hAnsi="楷体_GB2312" w:eastAsia="楷体_GB2312" w:cs="楷体_GB2312"/>
          <w:b w:val="0"/>
          <w:bCs/>
          <w:lang w:val="en-US" w:eastAsia="zh-CN"/>
        </w:rPr>
        <w:t>（一）项目综合评价情况</w:t>
      </w:r>
      <w:bookmarkEnd w:id="67"/>
      <w:bookmarkEnd w:id="68"/>
      <w:bookmarkEnd w:id="69"/>
      <w:bookmarkEnd w:id="70"/>
    </w:p>
    <w:p>
      <w:pPr>
        <w:keepNext w:val="0"/>
        <w:pageBreakBefore w:val="0"/>
        <w:widowControl w:val="0"/>
        <w:kinsoku/>
        <w:wordWrap/>
        <w:overflowPunct/>
        <w:topLinePunct w:val="0"/>
        <w:autoSpaceDE w:val="0"/>
        <w:autoSpaceDN w:val="0"/>
        <w:bidi w:val="0"/>
        <w:adjustRightInd w:val="0"/>
        <w:snapToGrid w:val="0"/>
        <w:ind w:firstLine="640"/>
        <w:jc w:val="both"/>
        <w:textAlignment w:val="auto"/>
        <w:rPr>
          <w:lang w:val="en-US"/>
        </w:rPr>
      </w:pPr>
      <w:r>
        <w:rPr>
          <w:rFonts w:hint="eastAsia"/>
          <w:lang w:val="en-US"/>
        </w:rPr>
        <w:t>通过召开专家评价会，由专家成员对项目绩效评价各项指标进行打分，得出该项目综合评价分数为</w:t>
      </w:r>
      <w:r>
        <w:rPr>
          <w:rFonts w:hint="eastAsia"/>
          <w:highlight w:val="none"/>
          <w:lang w:val="en-US"/>
        </w:rPr>
        <w:t>9</w:t>
      </w:r>
      <w:r>
        <w:rPr>
          <w:rFonts w:hint="eastAsia"/>
          <w:highlight w:val="none"/>
          <w:lang w:val="en-US" w:eastAsia="zh-CN"/>
        </w:rPr>
        <w:t>1</w:t>
      </w:r>
      <w:r>
        <w:rPr>
          <w:rFonts w:hint="eastAsia"/>
          <w:highlight w:val="none"/>
          <w:lang w:val="en-US"/>
        </w:rPr>
        <w:t>.</w:t>
      </w:r>
      <w:r>
        <w:rPr>
          <w:rFonts w:hint="eastAsia"/>
          <w:highlight w:val="none"/>
          <w:lang w:val="en-US" w:eastAsia="zh-CN"/>
        </w:rPr>
        <w:t>22</w:t>
      </w:r>
      <w:r>
        <w:rPr>
          <w:rFonts w:hint="eastAsia"/>
          <w:lang w:val="en-US"/>
        </w:rPr>
        <w:t>分，评级为“优”。</w:t>
      </w:r>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71" w:name="_Toc72853501"/>
      <w:bookmarkStart w:id="72" w:name="_Toc271"/>
      <w:bookmarkStart w:id="73" w:name="_Toc26430"/>
      <w:bookmarkStart w:id="74" w:name="_Toc22453"/>
      <w:r>
        <w:rPr>
          <w:rFonts w:hint="eastAsia" w:ascii="楷体_GB2312" w:hAnsi="楷体_GB2312" w:eastAsia="楷体_GB2312" w:cs="楷体_GB2312"/>
          <w:b w:val="0"/>
          <w:bCs/>
          <w:lang w:val="en-US" w:eastAsia="zh-CN"/>
        </w:rPr>
        <w:t>（二）项目评价结论</w:t>
      </w:r>
      <w:bookmarkEnd w:id="71"/>
      <w:bookmarkEnd w:id="72"/>
      <w:bookmarkEnd w:id="73"/>
      <w:bookmarkEnd w:id="74"/>
    </w:p>
    <w:p>
      <w:pPr>
        <w:keepNext w:val="0"/>
        <w:pageBreakBefore w:val="0"/>
        <w:widowControl w:val="0"/>
        <w:kinsoku/>
        <w:wordWrap/>
        <w:overflowPunct/>
        <w:topLinePunct w:val="0"/>
        <w:autoSpaceDE w:val="0"/>
        <w:autoSpaceDN w:val="0"/>
        <w:bidi w:val="0"/>
        <w:adjustRightInd w:val="0"/>
        <w:snapToGrid w:val="0"/>
        <w:ind w:firstLine="640"/>
        <w:jc w:val="both"/>
        <w:textAlignment w:val="auto"/>
        <w:rPr>
          <w:rFonts w:hint="eastAsia" w:eastAsia="仿宋_GB2312"/>
          <w:lang w:val="en-US" w:eastAsia="zh-CN"/>
        </w:rPr>
      </w:pPr>
      <w:r>
        <w:rPr>
          <w:rFonts w:hint="eastAsia"/>
          <w:lang w:val="en-US"/>
        </w:rPr>
        <w:t>决策方面：该部分分值20.00分，评价得分</w:t>
      </w:r>
      <w:r>
        <w:rPr>
          <w:rFonts w:hint="eastAsia"/>
          <w:highlight w:val="none"/>
          <w:lang w:val="en-US"/>
        </w:rPr>
        <w:t>17.</w:t>
      </w:r>
      <w:r>
        <w:rPr>
          <w:rFonts w:hint="eastAsia"/>
          <w:highlight w:val="none"/>
          <w:lang w:val="en-US" w:eastAsia="zh-CN"/>
        </w:rPr>
        <w:t>10</w:t>
      </w:r>
      <w:r>
        <w:rPr>
          <w:rFonts w:hint="eastAsia"/>
          <w:lang w:val="en-US"/>
        </w:rPr>
        <w:t>分。该项目立项依据充分，项目符合北京市知识产权局的职能定位与政策文件要求。但绩效目标设置较宏大，绩效指标的设置不够科学合理</w:t>
      </w:r>
      <w:r>
        <w:rPr>
          <w:rFonts w:hint="eastAsia"/>
          <w:lang w:val="en-US" w:eastAsia="zh-CN"/>
        </w:rPr>
        <w:t>；</w:t>
      </w:r>
      <w:r>
        <w:rPr>
          <w:rFonts w:hint="eastAsia"/>
          <w:lang w:val="en-US"/>
        </w:rPr>
        <w:t>预算编制</w:t>
      </w:r>
      <w:r>
        <w:rPr>
          <w:rFonts w:hint="eastAsia"/>
          <w:lang w:val="en-US" w:eastAsia="zh-CN"/>
        </w:rPr>
        <w:t>中个别</w:t>
      </w:r>
      <w:r>
        <w:rPr>
          <w:rFonts w:hint="eastAsia"/>
          <w:lang w:val="en-US"/>
        </w:rPr>
        <w:t>预算内容与项目内容匹配性不足</w:t>
      </w:r>
      <w:r>
        <w:rPr>
          <w:rFonts w:hint="eastAsia"/>
          <w:lang w:val="en-US" w:eastAsia="zh-CN"/>
        </w:rPr>
        <w:t>；资金分配中部分子项目资金分配依据不够清晰。</w:t>
      </w:r>
    </w:p>
    <w:p>
      <w:pPr>
        <w:keepNext w:val="0"/>
        <w:pageBreakBefore w:val="0"/>
        <w:widowControl w:val="0"/>
        <w:kinsoku/>
        <w:wordWrap/>
        <w:overflowPunct/>
        <w:topLinePunct w:val="0"/>
        <w:autoSpaceDE w:val="0"/>
        <w:autoSpaceDN w:val="0"/>
        <w:bidi w:val="0"/>
        <w:adjustRightInd w:val="0"/>
        <w:snapToGrid w:val="0"/>
        <w:ind w:firstLine="640"/>
        <w:jc w:val="both"/>
        <w:textAlignment w:val="auto"/>
        <w:rPr>
          <w:lang w:val="en-US"/>
        </w:rPr>
      </w:pPr>
      <w:r>
        <w:rPr>
          <w:rFonts w:hint="eastAsia"/>
          <w:lang w:val="en-US"/>
        </w:rPr>
        <w:t>过程方面：该部分分值20.00分，评价得分</w:t>
      </w:r>
      <w:r>
        <w:rPr>
          <w:rFonts w:hint="eastAsia"/>
          <w:highlight w:val="none"/>
          <w:lang w:val="en-US"/>
        </w:rPr>
        <w:t>1</w:t>
      </w:r>
      <w:r>
        <w:rPr>
          <w:rFonts w:hint="eastAsia"/>
          <w:highlight w:val="none"/>
          <w:lang w:val="en-US" w:eastAsia="zh-CN"/>
        </w:rPr>
        <w:t>7</w:t>
      </w:r>
      <w:r>
        <w:rPr>
          <w:rFonts w:hint="eastAsia"/>
          <w:highlight w:val="none"/>
          <w:lang w:val="en-US"/>
        </w:rPr>
        <w:t>.</w:t>
      </w:r>
      <w:r>
        <w:rPr>
          <w:rFonts w:hint="eastAsia"/>
          <w:highlight w:val="none"/>
          <w:lang w:val="en-US" w:eastAsia="zh-CN"/>
        </w:rPr>
        <w:t>9</w:t>
      </w:r>
      <w:r>
        <w:rPr>
          <w:rFonts w:hint="eastAsia"/>
          <w:highlight w:val="none"/>
          <w:lang w:val="en-US"/>
        </w:rPr>
        <w:t>0</w:t>
      </w:r>
      <w:r>
        <w:rPr>
          <w:rFonts w:hint="eastAsia"/>
          <w:lang w:val="en-US"/>
        </w:rPr>
        <w:t>分。项目资金到位及时</w:t>
      </w:r>
      <w:r>
        <w:rPr>
          <w:rFonts w:hint="eastAsia"/>
          <w:lang w:val="en-US" w:eastAsia="zh-CN"/>
        </w:rPr>
        <w:t>，具有相应的财务和业务管理制度</w:t>
      </w:r>
      <w:r>
        <w:rPr>
          <w:rFonts w:hint="eastAsia"/>
          <w:lang w:val="en-US"/>
        </w:rPr>
        <w:t>。但预算执行率</w:t>
      </w:r>
      <w:r>
        <w:rPr>
          <w:rFonts w:hint="eastAsia"/>
          <w:lang w:val="en-US" w:eastAsia="zh-CN"/>
        </w:rPr>
        <w:t>较低，</w:t>
      </w:r>
      <w:r>
        <w:rPr>
          <w:rFonts w:hint="eastAsia"/>
          <w:lang w:val="en-US"/>
        </w:rPr>
        <w:t>制度的执行管理需进一步加强。</w:t>
      </w:r>
    </w:p>
    <w:p>
      <w:pPr>
        <w:keepNext w:val="0"/>
        <w:pageBreakBefore w:val="0"/>
        <w:widowControl w:val="0"/>
        <w:kinsoku/>
        <w:wordWrap/>
        <w:overflowPunct/>
        <w:topLinePunct w:val="0"/>
        <w:autoSpaceDE w:val="0"/>
        <w:autoSpaceDN w:val="0"/>
        <w:bidi w:val="0"/>
        <w:adjustRightInd w:val="0"/>
        <w:snapToGrid w:val="0"/>
        <w:ind w:firstLine="640"/>
        <w:jc w:val="both"/>
        <w:textAlignment w:val="auto"/>
        <w:rPr>
          <w:lang w:val="en-US"/>
        </w:rPr>
      </w:pPr>
      <w:r>
        <w:rPr>
          <w:rFonts w:hint="eastAsia"/>
          <w:lang w:val="en-US"/>
        </w:rPr>
        <w:t>产出方面：该部分分值30.00分，评价得分</w:t>
      </w:r>
      <w:r>
        <w:rPr>
          <w:rFonts w:hint="eastAsia"/>
          <w:highlight w:val="none"/>
          <w:lang w:val="en-US" w:eastAsia="zh-CN"/>
        </w:rPr>
        <w:t>28.72</w:t>
      </w:r>
      <w:r>
        <w:rPr>
          <w:rFonts w:hint="eastAsia"/>
          <w:lang w:val="en-US"/>
        </w:rPr>
        <w:t>分。项目主要围绕补贴知识产权质押贷款贴息、知识产权质押融资综合成本、知识产权质押融资风险补偿等工作展开，整体工作全部达到预期目标，</w:t>
      </w:r>
      <w:r>
        <w:rPr>
          <w:rFonts w:hint="eastAsia"/>
          <w:lang w:val="en-US" w:eastAsia="zh-CN"/>
        </w:rPr>
        <w:t>但实际完成情况与计划偏差较大</w:t>
      </w:r>
      <w:r>
        <w:rPr>
          <w:rFonts w:hint="eastAsia"/>
          <w:lang w:val="en-US"/>
        </w:rPr>
        <w:t>。</w:t>
      </w:r>
    </w:p>
    <w:p>
      <w:pPr>
        <w:keepNext w:val="0"/>
        <w:pageBreakBefore w:val="0"/>
        <w:widowControl w:val="0"/>
        <w:kinsoku/>
        <w:wordWrap/>
        <w:overflowPunct/>
        <w:topLinePunct w:val="0"/>
        <w:autoSpaceDE w:val="0"/>
        <w:autoSpaceDN w:val="0"/>
        <w:bidi w:val="0"/>
        <w:adjustRightInd w:val="0"/>
        <w:snapToGrid w:val="0"/>
        <w:ind w:firstLine="640"/>
        <w:jc w:val="both"/>
        <w:textAlignment w:val="auto"/>
        <w:rPr>
          <w:rFonts w:hint="default" w:eastAsia="仿宋_GB2312"/>
          <w:lang w:val="en-US" w:eastAsia="zh-CN"/>
        </w:rPr>
      </w:pPr>
      <w:r>
        <w:rPr>
          <w:rFonts w:hint="eastAsia"/>
          <w:lang w:val="en-US"/>
        </w:rPr>
        <w:t>效益方面：该部分分值30.00分，评价得分</w:t>
      </w:r>
      <w:r>
        <w:rPr>
          <w:rFonts w:hint="eastAsia"/>
          <w:highlight w:val="none"/>
          <w:lang w:val="en-US"/>
        </w:rPr>
        <w:t>2</w:t>
      </w:r>
      <w:r>
        <w:rPr>
          <w:rFonts w:hint="eastAsia"/>
          <w:highlight w:val="none"/>
          <w:lang w:val="en-US" w:eastAsia="zh-CN"/>
        </w:rPr>
        <w:t>7</w:t>
      </w:r>
      <w:r>
        <w:rPr>
          <w:rFonts w:hint="eastAsia"/>
          <w:highlight w:val="none"/>
          <w:lang w:val="en-US"/>
        </w:rPr>
        <w:t>.</w:t>
      </w:r>
      <w:r>
        <w:rPr>
          <w:rFonts w:hint="eastAsia"/>
          <w:highlight w:val="none"/>
          <w:lang w:val="en-US" w:eastAsia="zh-CN"/>
        </w:rPr>
        <w:t>5</w:t>
      </w:r>
      <w:r>
        <w:rPr>
          <w:rFonts w:hint="eastAsia"/>
          <w:highlight w:val="none"/>
          <w:lang w:val="en-US"/>
        </w:rPr>
        <w:t>0</w:t>
      </w:r>
      <w:r>
        <w:rPr>
          <w:rFonts w:hint="eastAsia"/>
          <w:lang w:val="en-US"/>
        </w:rPr>
        <w:t>分。</w:t>
      </w:r>
      <w:r>
        <w:rPr>
          <w:rFonts w:hint="eastAsia"/>
          <w:lang w:val="en-US" w:eastAsia="zh-CN"/>
        </w:rPr>
        <w:t>通过项目实施，不断促进企业知识产权质押贷款规模持续健康增长，惠及中小企业数量增长，有效降低受补贴企业知识产权质押融资成本。但满意度调查不够客观。</w:t>
      </w:r>
    </w:p>
    <w:p>
      <w:pPr>
        <w:pStyle w:val="2"/>
        <w:keepNext w:val="0"/>
        <w:pageBreakBefore w:val="0"/>
        <w:widowControl w:val="0"/>
        <w:kinsoku/>
        <w:wordWrap/>
        <w:overflowPunct/>
        <w:topLinePunct w:val="0"/>
        <w:autoSpaceDE w:val="0"/>
        <w:autoSpaceDN w:val="0"/>
        <w:bidi w:val="0"/>
        <w:adjustRightInd w:val="0"/>
        <w:snapToGrid w:val="0"/>
        <w:ind w:firstLine="640"/>
        <w:textAlignment w:val="auto"/>
        <w:rPr>
          <w:lang w:val="en-US"/>
        </w:rPr>
      </w:pPr>
      <w:bookmarkStart w:id="75" w:name="_Toc9613"/>
      <w:bookmarkStart w:id="76" w:name="_Toc11328"/>
      <w:bookmarkStart w:id="77" w:name="_Toc72853502"/>
      <w:bookmarkStart w:id="78" w:name="_Toc6981"/>
      <w:r>
        <w:rPr>
          <w:rFonts w:hint="eastAsia"/>
          <w:lang w:val="en-US"/>
        </w:rPr>
        <w:t>四、绩效评价指标分析</w:t>
      </w:r>
      <w:bookmarkEnd w:id="75"/>
      <w:bookmarkEnd w:id="76"/>
      <w:bookmarkEnd w:id="77"/>
      <w:bookmarkEnd w:id="78"/>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79" w:name="_Toc72853503"/>
      <w:bookmarkStart w:id="80" w:name="_Toc32698"/>
      <w:bookmarkStart w:id="81" w:name="_Toc28735"/>
      <w:bookmarkStart w:id="82" w:name="_Toc27413"/>
      <w:r>
        <w:rPr>
          <w:rFonts w:hint="eastAsia" w:ascii="楷体_GB2312" w:hAnsi="楷体_GB2312" w:eastAsia="楷体_GB2312" w:cs="楷体_GB2312"/>
          <w:b w:val="0"/>
          <w:bCs/>
          <w:lang w:val="en-US" w:eastAsia="zh-CN"/>
        </w:rPr>
        <w:t>（一）项目决策情况分析</w:t>
      </w:r>
      <w:bookmarkEnd w:id="79"/>
      <w:bookmarkEnd w:id="80"/>
      <w:bookmarkEnd w:id="81"/>
      <w:bookmarkEnd w:id="82"/>
    </w:p>
    <w:p>
      <w:pPr>
        <w:pStyle w:val="4"/>
        <w:keepNext w:val="0"/>
        <w:keepLines w:val="0"/>
        <w:pageBreakBefore w:val="0"/>
        <w:widowControl w:val="0"/>
        <w:kinsoku/>
        <w:wordWrap/>
        <w:overflowPunct/>
        <w:topLinePunct w:val="0"/>
        <w:autoSpaceDE w:val="0"/>
        <w:autoSpaceDN w:val="0"/>
        <w:bidi w:val="0"/>
        <w:adjustRightInd w:val="0"/>
        <w:snapToGrid w:val="0"/>
        <w:ind w:firstLine="643"/>
        <w:textAlignment w:val="auto"/>
        <w:rPr>
          <w:lang w:val="en-US"/>
        </w:rPr>
      </w:pPr>
      <w:bookmarkStart w:id="83" w:name="_Toc23224"/>
      <w:bookmarkStart w:id="84" w:name="_Toc26046"/>
      <w:bookmarkStart w:id="85" w:name="_Toc15853"/>
      <w:bookmarkStart w:id="86" w:name="_Toc72853504"/>
      <w:r>
        <w:rPr>
          <w:rFonts w:hint="eastAsia"/>
          <w:lang w:val="en-US"/>
        </w:rPr>
        <w:t>1.项目立项情况分析</w:t>
      </w:r>
      <w:bookmarkEnd w:id="83"/>
      <w:bookmarkEnd w:id="84"/>
      <w:bookmarkEnd w:id="85"/>
      <w:bookmarkEnd w:id="86"/>
    </w:p>
    <w:p>
      <w:pPr>
        <w:keepNext w:val="0"/>
        <w:pageBreakBefore w:val="0"/>
        <w:widowControl w:val="0"/>
        <w:kinsoku/>
        <w:wordWrap/>
        <w:overflowPunct/>
        <w:topLinePunct w:val="0"/>
        <w:autoSpaceDE w:val="0"/>
        <w:autoSpaceDN w:val="0"/>
        <w:bidi w:val="0"/>
        <w:adjustRightInd w:val="0"/>
        <w:snapToGrid w:val="0"/>
        <w:ind w:firstLine="643"/>
        <w:jc w:val="both"/>
        <w:textAlignment w:val="auto"/>
        <w:rPr>
          <w:rFonts w:hint="eastAsia"/>
          <w:lang w:val="en-US" w:eastAsia="zh-CN"/>
        </w:rPr>
      </w:pPr>
      <w:r>
        <w:rPr>
          <w:rFonts w:hint="eastAsia"/>
          <w:b/>
          <w:bCs/>
          <w:lang w:val="en-US"/>
        </w:rPr>
        <w:t>立项依据充分性</w:t>
      </w:r>
      <w:r>
        <w:rPr>
          <w:rFonts w:hint="eastAsia"/>
          <w:b/>
          <w:bCs/>
          <w:lang w:val="en-US" w:eastAsia="zh-CN"/>
        </w:rPr>
        <w:t>：</w:t>
      </w:r>
      <w:r>
        <w:rPr>
          <w:rFonts w:hint="eastAsia"/>
          <w:b w:val="0"/>
          <w:bCs w:val="0"/>
          <w:lang w:val="en-US"/>
        </w:rPr>
        <w:t>项目的设立符合《关于进一步加强知识产权质押融资工作的通知》《知识产权质押融资入园惠企行动方案（2021—2023年）》</w:t>
      </w:r>
      <w:r>
        <w:rPr>
          <w:rFonts w:hint="eastAsia"/>
          <w:b w:val="0"/>
          <w:bCs w:val="0"/>
          <w:lang w:val="en-US" w:eastAsia="zh-CN"/>
        </w:rPr>
        <w:t>等政策要求。</w:t>
      </w:r>
      <w:r>
        <w:rPr>
          <w:rFonts w:hint="eastAsia"/>
          <w:b/>
          <w:bCs/>
          <w:lang w:val="en-US"/>
        </w:rPr>
        <w:t>立项程序规范性</w:t>
      </w:r>
      <w:r>
        <w:rPr>
          <w:rFonts w:hint="eastAsia"/>
          <w:b/>
          <w:bCs/>
          <w:lang w:val="en-US" w:eastAsia="zh-CN"/>
        </w:rPr>
        <w:t>：</w:t>
      </w:r>
      <w:bookmarkStart w:id="87" w:name="_Toc26958"/>
      <w:bookmarkStart w:id="88" w:name="_Toc10024"/>
      <w:bookmarkStart w:id="89" w:name="_Toc5537"/>
      <w:bookmarkStart w:id="90" w:name="_Toc72853505"/>
      <w:r>
        <w:rPr>
          <w:rFonts w:hint="eastAsia"/>
          <w:lang w:val="en-US" w:eastAsia="zh-CN"/>
        </w:rPr>
        <w:t>该项目申报提交了项目申</w:t>
      </w:r>
      <w:bookmarkStart w:id="175" w:name="_GoBack"/>
      <w:bookmarkEnd w:id="175"/>
      <w:r>
        <w:rPr>
          <w:rFonts w:hint="eastAsia"/>
          <w:lang w:val="en-US" w:eastAsia="zh-CN"/>
        </w:rPr>
        <w:t>报书、项目预算测算说明等，立项程序较规范。</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lang w:val="en-US"/>
        </w:rPr>
      </w:pPr>
      <w:r>
        <w:rPr>
          <w:rFonts w:hint="eastAsia"/>
          <w:lang w:val="en-US"/>
        </w:rPr>
        <w:t>2.绩效目标情况分析</w:t>
      </w:r>
      <w:bookmarkEnd w:id="87"/>
      <w:bookmarkEnd w:id="88"/>
      <w:bookmarkEnd w:id="89"/>
      <w:bookmarkEnd w:id="90"/>
    </w:p>
    <w:p>
      <w:pPr>
        <w:keepNext w:val="0"/>
        <w:pageBreakBefore w:val="0"/>
        <w:widowControl w:val="0"/>
        <w:kinsoku/>
        <w:wordWrap/>
        <w:overflowPunct/>
        <w:topLinePunct w:val="0"/>
        <w:autoSpaceDE w:val="0"/>
        <w:autoSpaceDN w:val="0"/>
        <w:bidi w:val="0"/>
        <w:adjustRightInd w:val="0"/>
        <w:snapToGrid w:val="0"/>
        <w:ind w:firstLine="643"/>
        <w:jc w:val="both"/>
        <w:textAlignment w:val="auto"/>
        <w:rPr>
          <w:lang w:val="en-US"/>
        </w:rPr>
      </w:pPr>
      <w:r>
        <w:rPr>
          <w:rFonts w:hint="eastAsia"/>
          <w:b/>
          <w:bCs/>
          <w:lang w:val="en-US"/>
        </w:rPr>
        <w:t>绩效目标合理性</w:t>
      </w:r>
      <w:r>
        <w:rPr>
          <w:rFonts w:hint="eastAsia"/>
          <w:b/>
          <w:bCs/>
          <w:lang w:val="en-US" w:eastAsia="zh-CN"/>
        </w:rPr>
        <w:t>：</w:t>
      </w:r>
      <w:r>
        <w:rPr>
          <w:rFonts w:hint="eastAsia"/>
          <w:b w:val="0"/>
          <w:bCs w:val="0"/>
          <w:lang w:val="en-US"/>
        </w:rPr>
        <w:t>本项目的绩效目标设置整体较合理，明确说明了项目实施的预期效果，但绩效目标</w:t>
      </w:r>
      <w:r>
        <w:rPr>
          <w:rFonts w:hint="eastAsia"/>
          <w:b w:val="0"/>
          <w:bCs w:val="0"/>
          <w:lang w:val="en-US" w:eastAsia="zh-CN"/>
        </w:rPr>
        <w:t>设置</w:t>
      </w:r>
      <w:r>
        <w:rPr>
          <w:rFonts w:hint="eastAsia"/>
          <w:b w:val="0"/>
          <w:bCs w:val="0"/>
          <w:lang w:val="en-US"/>
        </w:rPr>
        <w:t>较宏大。</w:t>
      </w:r>
      <w:r>
        <w:rPr>
          <w:rFonts w:hint="eastAsia"/>
          <w:b/>
          <w:bCs/>
          <w:lang w:val="en-US"/>
        </w:rPr>
        <w:t>绩效指标明确性</w:t>
      </w:r>
      <w:r>
        <w:rPr>
          <w:rFonts w:hint="eastAsia"/>
          <w:b/>
          <w:bCs/>
          <w:lang w:val="en-US" w:eastAsia="zh-CN"/>
        </w:rPr>
        <w:t>：</w:t>
      </w:r>
      <w:r>
        <w:rPr>
          <w:rFonts w:hint="eastAsia"/>
          <w:lang w:val="en-US"/>
        </w:rPr>
        <w:t>项目单位</w:t>
      </w:r>
      <w:r>
        <w:rPr>
          <w:lang w:val="en-US"/>
        </w:rPr>
        <w:t>对设定的绩效目标进行了分解</w:t>
      </w:r>
      <w:r>
        <w:rPr>
          <w:rFonts w:hint="eastAsia"/>
          <w:lang w:val="en-US"/>
        </w:rPr>
        <w:t>。但绩效指标中的数量指标</w:t>
      </w:r>
      <w:r>
        <w:rPr>
          <w:rFonts w:hint="eastAsia"/>
          <w:lang w:val="en-US" w:eastAsia="zh-CN"/>
        </w:rPr>
        <w:t>未</w:t>
      </w:r>
      <w:r>
        <w:rPr>
          <w:rFonts w:hint="eastAsia"/>
          <w:lang w:val="en-US"/>
        </w:rPr>
        <w:t>与项目实施内容、预算资金</w:t>
      </w:r>
      <w:r>
        <w:rPr>
          <w:rFonts w:hint="eastAsia"/>
          <w:lang w:val="en-US" w:eastAsia="zh-CN"/>
        </w:rPr>
        <w:t>完全</w:t>
      </w:r>
      <w:r>
        <w:rPr>
          <w:rFonts w:hint="eastAsia"/>
          <w:lang w:val="en-US"/>
        </w:rPr>
        <w:t>对应；质量指标的针对性不足，对企业补贴的质量要求不够清晰，难以体现项目实施预期达到的质量要求。</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lang w:val="en-US"/>
        </w:rPr>
      </w:pPr>
      <w:bookmarkStart w:id="91" w:name="_Toc2683"/>
      <w:bookmarkStart w:id="92" w:name="_Toc25359"/>
      <w:bookmarkStart w:id="93" w:name="_Toc16292"/>
      <w:bookmarkStart w:id="94" w:name="_Toc72853506"/>
      <w:r>
        <w:rPr>
          <w:rFonts w:hint="eastAsia"/>
          <w:lang w:val="en-US"/>
        </w:rPr>
        <w:t>3.资金投入情况分析</w:t>
      </w:r>
      <w:bookmarkEnd w:id="91"/>
      <w:bookmarkEnd w:id="92"/>
      <w:bookmarkEnd w:id="93"/>
      <w:bookmarkEnd w:id="94"/>
    </w:p>
    <w:p>
      <w:pPr>
        <w:keepNext w:val="0"/>
        <w:pageBreakBefore w:val="0"/>
        <w:widowControl w:val="0"/>
        <w:kinsoku/>
        <w:wordWrap/>
        <w:overflowPunct/>
        <w:topLinePunct w:val="0"/>
        <w:autoSpaceDE w:val="0"/>
        <w:autoSpaceDN w:val="0"/>
        <w:bidi w:val="0"/>
        <w:adjustRightInd w:val="0"/>
        <w:snapToGrid w:val="0"/>
        <w:ind w:firstLine="643"/>
        <w:jc w:val="both"/>
        <w:textAlignment w:val="auto"/>
        <w:rPr>
          <w:lang w:val="en-US"/>
        </w:rPr>
      </w:pPr>
      <w:r>
        <w:rPr>
          <w:rFonts w:hint="eastAsia"/>
          <w:b/>
          <w:bCs/>
          <w:lang w:val="en-US"/>
        </w:rPr>
        <w:t>预算编制科学性</w:t>
      </w:r>
      <w:r>
        <w:rPr>
          <w:rFonts w:hint="eastAsia"/>
          <w:b/>
          <w:bCs/>
          <w:lang w:val="en-US" w:eastAsia="zh-CN"/>
        </w:rPr>
        <w:t>：</w:t>
      </w:r>
      <w:r>
        <w:rPr>
          <w:rFonts w:hint="eastAsia"/>
          <w:b w:val="0"/>
          <w:bCs w:val="0"/>
          <w:lang w:val="en-US"/>
        </w:rPr>
        <w:t>在预算编制方面，项目单位根据事前绩效评估建议及《北京市促进知识产权质押融资服务高质量发展专项资金使用管理办法</w:t>
      </w:r>
      <w:r>
        <w:rPr>
          <w:rFonts w:hint="eastAsia"/>
          <w:b w:val="0"/>
          <w:bCs w:val="0"/>
          <w:lang w:val="en-US" w:eastAsia="zh-CN"/>
        </w:rPr>
        <w:t>（</w:t>
      </w:r>
      <w:r>
        <w:rPr>
          <w:rFonts w:hint="eastAsia"/>
          <w:b w:val="0"/>
          <w:bCs w:val="0"/>
          <w:lang w:val="en-US"/>
        </w:rPr>
        <w:t>暂行</w:t>
      </w:r>
      <w:r>
        <w:rPr>
          <w:rFonts w:hint="eastAsia"/>
          <w:b w:val="0"/>
          <w:bCs w:val="0"/>
          <w:lang w:val="en-US" w:eastAsia="zh-CN"/>
        </w:rPr>
        <w:t>）</w:t>
      </w:r>
      <w:r>
        <w:rPr>
          <w:rFonts w:hint="eastAsia"/>
          <w:b w:val="0"/>
          <w:bCs w:val="0"/>
          <w:lang w:val="en-US"/>
        </w:rPr>
        <w:t>》编制</w:t>
      </w:r>
      <w:r>
        <w:rPr>
          <w:rFonts w:hint="eastAsia"/>
          <w:b w:val="0"/>
          <w:bCs w:val="0"/>
          <w:lang w:val="en-US" w:eastAsia="zh-CN"/>
        </w:rPr>
        <w:t>资金</w:t>
      </w:r>
      <w:r>
        <w:rPr>
          <w:rFonts w:hint="eastAsia"/>
          <w:b w:val="0"/>
          <w:bCs w:val="0"/>
          <w:lang w:val="en-US"/>
        </w:rPr>
        <w:t>补贴比例。但</w:t>
      </w:r>
      <w:r>
        <w:rPr>
          <w:rFonts w:hint="eastAsia"/>
          <w:b w:val="0"/>
          <w:bCs w:val="0"/>
          <w:lang w:val="en-US" w:eastAsia="zh-CN"/>
        </w:rPr>
        <w:t>预算编制中包含专家咨询费，与项目内容匹配性不足</w:t>
      </w:r>
      <w:r>
        <w:rPr>
          <w:rFonts w:hint="eastAsia"/>
          <w:b w:val="0"/>
          <w:bCs w:val="0"/>
          <w:lang w:val="en-US"/>
        </w:rPr>
        <w:t>。</w:t>
      </w:r>
      <w:r>
        <w:rPr>
          <w:rFonts w:hint="eastAsia"/>
          <w:b/>
          <w:bCs/>
          <w:lang w:val="en-US"/>
        </w:rPr>
        <w:t>资金分配合理性</w:t>
      </w:r>
      <w:r>
        <w:rPr>
          <w:rFonts w:hint="eastAsia"/>
          <w:b/>
          <w:bCs/>
          <w:lang w:val="en-US" w:eastAsia="zh-CN"/>
        </w:rPr>
        <w:t>：</w:t>
      </w:r>
      <w:r>
        <w:rPr>
          <w:rFonts w:hint="eastAsia"/>
          <w:lang w:val="en-US"/>
        </w:rPr>
        <w:t>为保障本项目资金安排的合理性，项目单位在编制预算的基础上根据往年工作经验，结合重点企业、银行调研情况及各省质押融资执行情况，</w:t>
      </w:r>
      <w:r>
        <w:rPr>
          <w:lang w:val="en-US"/>
        </w:rPr>
        <w:t>制定年度</w:t>
      </w:r>
      <w:r>
        <w:rPr>
          <w:rFonts w:hint="eastAsia"/>
          <w:lang w:val="en-US"/>
        </w:rPr>
        <w:t>补贴资金</w:t>
      </w:r>
      <w:r>
        <w:rPr>
          <w:lang w:val="en-US"/>
        </w:rPr>
        <w:t>分配</w:t>
      </w:r>
      <w:r>
        <w:rPr>
          <w:rFonts w:hint="eastAsia"/>
          <w:lang w:val="en-US"/>
        </w:rPr>
        <w:t>额度，资金分配整体较合理。但</w:t>
      </w:r>
      <w:r>
        <w:rPr>
          <w:rFonts w:hint="eastAsia"/>
          <w:lang w:val="en-US" w:eastAsia="zh-CN"/>
        </w:rPr>
        <w:t>部分子</w:t>
      </w:r>
      <w:r>
        <w:rPr>
          <w:rFonts w:hint="eastAsia"/>
          <w:lang w:val="en-US"/>
        </w:rPr>
        <w:t>项目资金分配依据</w:t>
      </w:r>
      <w:r>
        <w:rPr>
          <w:rFonts w:hint="eastAsia"/>
          <w:lang w:val="en-US" w:eastAsia="zh-CN"/>
        </w:rPr>
        <w:t>不够</w:t>
      </w:r>
      <w:r>
        <w:rPr>
          <w:rFonts w:hint="eastAsia"/>
          <w:lang w:val="en-US"/>
        </w:rPr>
        <w:t>清晰</w:t>
      </w:r>
      <w:r>
        <w:rPr>
          <w:rFonts w:hint="eastAsia"/>
          <w:lang w:val="en-US" w:eastAsia="zh-CN"/>
        </w:rPr>
        <w:t>，资金分配比重缺少科学合理的测算</w:t>
      </w:r>
      <w:r>
        <w:rPr>
          <w:rFonts w:hint="eastAsia"/>
          <w:lang w:val="en-US"/>
        </w:rPr>
        <w:t>。</w:t>
      </w:r>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bookmarkStart w:id="95" w:name="_Toc6866"/>
      <w:bookmarkStart w:id="96" w:name="_Toc19764"/>
      <w:bookmarkStart w:id="97" w:name="_Toc23389"/>
      <w:bookmarkStart w:id="98" w:name="_Toc72853507"/>
      <w:r>
        <w:rPr>
          <w:rFonts w:hint="eastAsia" w:ascii="楷体_GB2312" w:hAnsi="楷体_GB2312" w:eastAsia="楷体_GB2312" w:cs="楷体_GB2312"/>
          <w:b w:val="0"/>
          <w:bCs/>
          <w:lang w:val="en-US" w:eastAsia="zh-CN"/>
        </w:rPr>
        <w:t>（二）项目过程情况分析</w:t>
      </w:r>
      <w:bookmarkEnd w:id="95"/>
      <w:bookmarkEnd w:id="96"/>
      <w:bookmarkEnd w:id="97"/>
      <w:bookmarkEnd w:id="98"/>
    </w:p>
    <w:p>
      <w:pPr>
        <w:pStyle w:val="4"/>
        <w:keepNext w:val="0"/>
        <w:pageBreakBefore w:val="0"/>
        <w:widowControl w:val="0"/>
        <w:kinsoku/>
        <w:wordWrap/>
        <w:overflowPunct/>
        <w:topLinePunct w:val="0"/>
        <w:autoSpaceDE w:val="0"/>
        <w:autoSpaceDN w:val="0"/>
        <w:bidi w:val="0"/>
        <w:adjustRightInd w:val="0"/>
        <w:snapToGrid w:val="0"/>
        <w:ind w:firstLine="643"/>
        <w:textAlignment w:val="auto"/>
        <w:rPr>
          <w:lang w:val="en-US"/>
        </w:rPr>
      </w:pPr>
      <w:bookmarkStart w:id="99" w:name="_Toc72853508"/>
      <w:bookmarkStart w:id="100" w:name="_Toc31316"/>
      <w:bookmarkStart w:id="101" w:name="_Toc14828"/>
      <w:bookmarkStart w:id="102" w:name="_Toc6122"/>
      <w:r>
        <w:rPr>
          <w:rFonts w:hint="eastAsia"/>
          <w:lang w:val="en-US"/>
        </w:rPr>
        <w:t>1.资金管理情况分析</w:t>
      </w:r>
      <w:bookmarkEnd w:id="99"/>
      <w:bookmarkEnd w:id="100"/>
      <w:bookmarkEnd w:id="101"/>
      <w:bookmarkEnd w:id="102"/>
    </w:p>
    <w:p>
      <w:pPr>
        <w:keepNext w:val="0"/>
        <w:pageBreakBefore w:val="0"/>
        <w:widowControl w:val="0"/>
        <w:kinsoku/>
        <w:wordWrap/>
        <w:overflowPunct/>
        <w:topLinePunct w:val="0"/>
        <w:autoSpaceDE w:val="0"/>
        <w:autoSpaceDN w:val="0"/>
        <w:bidi w:val="0"/>
        <w:adjustRightInd w:val="0"/>
        <w:snapToGrid w:val="0"/>
        <w:ind w:firstLine="643"/>
        <w:jc w:val="both"/>
        <w:textAlignment w:val="auto"/>
        <w:rPr>
          <w:szCs w:val="32"/>
        </w:rPr>
      </w:pPr>
      <w:r>
        <w:rPr>
          <w:rFonts w:hint="eastAsia"/>
          <w:b/>
          <w:bCs/>
          <w:szCs w:val="32"/>
          <w:lang w:val="en-US"/>
        </w:rPr>
        <w:t>资金到位率</w:t>
      </w:r>
      <w:r>
        <w:rPr>
          <w:rFonts w:hint="eastAsia"/>
          <w:b/>
          <w:bCs/>
          <w:szCs w:val="32"/>
          <w:lang w:val="en-US" w:eastAsia="zh-CN"/>
        </w:rPr>
        <w:t>：</w:t>
      </w:r>
      <w:r>
        <w:rPr>
          <w:rFonts w:hint="eastAsia"/>
          <w:b w:val="0"/>
          <w:bCs w:val="0"/>
          <w:szCs w:val="32"/>
          <w:lang w:val="en-US" w:eastAsia="zh-CN"/>
        </w:rPr>
        <w:t>该</w:t>
      </w:r>
      <w:r>
        <w:rPr>
          <w:rFonts w:hint="eastAsia"/>
          <w:b w:val="0"/>
          <w:bCs w:val="0"/>
          <w:szCs w:val="32"/>
          <w:lang w:val="en-US"/>
        </w:rPr>
        <w:t>项目</w:t>
      </w:r>
      <w:r>
        <w:rPr>
          <w:rFonts w:hint="eastAsia"/>
          <w:b w:val="0"/>
          <w:bCs w:val="0"/>
          <w:szCs w:val="32"/>
          <w:lang w:val="en-US" w:eastAsia="zh-CN"/>
        </w:rPr>
        <w:t>全年</w:t>
      </w:r>
      <w:r>
        <w:rPr>
          <w:rFonts w:hint="eastAsia"/>
          <w:b w:val="0"/>
          <w:bCs w:val="0"/>
          <w:szCs w:val="32"/>
          <w:lang w:val="en-US"/>
        </w:rPr>
        <w:t>预算批复金额为</w:t>
      </w:r>
      <w:r>
        <w:rPr>
          <w:rFonts w:hint="eastAsia"/>
          <w:b w:val="0"/>
          <w:bCs w:val="0"/>
          <w:szCs w:val="32"/>
          <w:lang w:val="en-US" w:eastAsia="zh-CN"/>
        </w:rPr>
        <w:t>4602</w:t>
      </w:r>
      <w:r>
        <w:rPr>
          <w:rFonts w:hint="eastAsia"/>
          <w:b w:val="0"/>
          <w:bCs w:val="0"/>
          <w:szCs w:val="32"/>
          <w:lang w:val="en-US"/>
        </w:rPr>
        <w:t>万元，已足额及时到账。</w:t>
      </w:r>
      <w:r>
        <w:rPr>
          <w:rFonts w:hint="eastAsia"/>
          <w:b/>
          <w:bCs/>
          <w:szCs w:val="32"/>
          <w:lang w:val="en-US"/>
        </w:rPr>
        <w:t>预算执行率</w:t>
      </w:r>
      <w:r>
        <w:rPr>
          <w:rFonts w:hint="eastAsia"/>
          <w:b/>
          <w:bCs/>
          <w:szCs w:val="32"/>
          <w:lang w:val="en-US" w:eastAsia="zh-CN"/>
        </w:rPr>
        <w:t>：</w:t>
      </w:r>
      <w:r>
        <w:rPr>
          <w:rFonts w:hint="eastAsia"/>
          <w:b w:val="0"/>
          <w:bCs w:val="0"/>
          <w:szCs w:val="32"/>
          <w:lang w:val="en-US" w:eastAsia="zh-CN"/>
        </w:rPr>
        <w:t>该</w:t>
      </w:r>
      <w:r>
        <w:rPr>
          <w:rFonts w:hint="eastAsia"/>
          <w:b w:val="0"/>
          <w:bCs w:val="0"/>
          <w:szCs w:val="32"/>
          <w:lang w:val="en-US"/>
        </w:rPr>
        <w:t>项目全年预算资金4602万元，实际支出资金4121.2</w:t>
      </w:r>
      <w:r>
        <w:rPr>
          <w:rFonts w:hint="eastAsia"/>
          <w:b w:val="0"/>
          <w:bCs w:val="0"/>
          <w:szCs w:val="32"/>
          <w:lang w:val="en-US" w:eastAsia="zh-CN"/>
        </w:rPr>
        <w:t>5</w:t>
      </w:r>
      <w:r>
        <w:rPr>
          <w:rFonts w:hint="eastAsia"/>
          <w:b w:val="0"/>
          <w:bCs w:val="0"/>
          <w:szCs w:val="32"/>
          <w:lang w:val="en-US"/>
        </w:rPr>
        <w:t>万元，预算执行率为</w:t>
      </w:r>
      <w:r>
        <w:rPr>
          <w:rFonts w:hint="eastAsia"/>
          <w:b w:val="0"/>
          <w:bCs w:val="0"/>
          <w:szCs w:val="32"/>
          <w:lang w:val="en-US" w:eastAsia="zh-CN"/>
        </w:rPr>
        <w:t>89.55</w:t>
      </w:r>
      <w:r>
        <w:rPr>
          <w:rFonts w:hint="eastAsia"/>
          <w:b w:val="0"/>
          <w:bCs w:val="0"/>
          <w:szCs w:val="32"/>
          <w:lang w:val="en-US"/>
        </w:rPr>
        <w:t>%。</w:t>
      </w:r>
      <w:r>
        <w:rPr>
          <w:rFonts w:hint="eastAsia"/>
          <w:b/>
          <w:bCs/>
          <w:szCs w:val="32"/>
          <w:lang w:val="en-US"/>
        </w:rPr>
        <w:t>资金使用合规性</w:t>
      </w:r>
      <w:r>
        <w:rPr>
          <w:rFonts w:hint="eastAsia"/>
          <w:b/>
          <w:bCs/>
          <w:szCs w:val="32"/>
          <w:lang w:val="en-US" w:eastAsia="zh-CN"/>
        </w:rPr>
        <w:t>：</w:t>
      </w:r>
      <w:r>
        <w:rPr>
          <w:rFonts w:hint="eastAsia"/>
          <w:szCs w:val="32"/>
          <w:lang w:val="en-US" w:eastAsia="zh-CN"/>
        </w:rPr>
        <w:t>该</w:t>
      </w:r>
      <w:r>
        <w:rPr>
          <w:rFonts w:hint="eastAsia"/>
          <w:szCs w:val="32"/>
          <w:lang w:val="en-US"/>
        </w:rPr>
        <w:t>项目在资金拨付环节严格按照北京市知识产权局规定的“三重一大”决策要求。</w:t>
      </w:r>
      <w:r>
        <w:rPr>
          <w:rFonts w:hint="eastAsia"/>
          <w:szCs w:val="32"/>
        </w:rPr>
        <w:t>资金使用符合项目申报用途，不存在截留、挤占、挪用和虚列支出的情况。</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szCs w:val="32"/>
          <w:lang w:val="en-US"/>
        </w:rPr>
      </w:pPr>
      <w:bookmarkStart w:id="103" w:name="_Toc72853509"/>
      <w:bookmarkStart w:id="104" w:name="_Toc21153"/>
      <w:bookmarkStart w:id="105" w:name="_Toc8014"/>
      <w:bookmarkStart w:id="106" w:name="_Toc13382"/>
      <w:r>
        <w:rPr>
          <w:rFonts w:hint="eastAsia"/>
          <w:szCs w:val="32"/>
          <w:lang w:val="en-US"/>
        </w:rPr>
        <w:t>2.组织实施情况分析</w:t>
      </w:r>
      <w:bookmarkEnd w:id="103"/>
      <w:bookmarkEnd w:id="104"/>
      <w:bookmarkEnd w:id="105"/>
      <w:bookmarkEnd w:id="106"/>
    </w:p>
    <w:p>
      <w:pPr>
        <w:keepNext w:val="0"/>
        <w:pageBreakBefore w:val="0"/>
        <w:widowControl w:val="0"/>
        <w:kinsoku/>
        <w:wordWrap/>
        <w:overflowPunct/>
        <w:topLinePunct w:val="0"/>
        <w:autoSpaceDE w:val="0"/>
        <w:autoSpaceDN w:val="0"/>
        <w:bidi w:val="0"/>
        <w:adjustRightInd w:val="0"/>
        <w:snapToGrid w:val="0"/>
        <w:ind w:firstLine="643"/>
        <w:jc w:val="both"/>
        <w:textAlignment w:val="auto"/>
        <w:rPr>
          <w:rFonts w:hint="eastAsia"/>
          <w:szCs w:val="32"/>
          <w:lang w:val="en-US" w:eastAsia="zh-CN"/>
        </w:rPr>
      </w:pPr>
      <w:r>
        <w:rPr>
          <w:rFonts w:hint="eastAsia"/>
          <w:b/>
          <w:bCs/>
          <w:szCs w:val="32"/>
          <w:lang w:val="en-US"/>
        </w:rPr>
        <w:t>管理制度健全性</w:t>
      </w:r>
      <w:r>
        <w:rPr>
          <w:rFonts w:hint="eastAsia"/>
          <w:b/>
          <w:bCs/>
          <w:szCs w:val="32"/>
          <w:lang w:val="en-US" w:eastAsia="zh-CN"/>
        </w:rPr>
        <w:t>：</w:t>
      </w:r>
      <w:r>
        <w:rPr>
          <w:rFonts w:hint="eastAsia" w:ascii="仿宋_GB2312" w:hAnsi="仿宋_GB2312" w:eastAsia="仿宋_GB2312" w:cs="仿宋_GB2312"/>
          <w:b w:val="0"/>
          <w:bCs w:val="0"/>
          <w:sz w:val="32"/>
          <w:szCs w:val="32"/>
          <w:lang w:val="en-US" w:eastAsia="zh-CN"/>
        </w:rPr>
        <w:t>项目单位制定了</w:t>
      </w:r>
      <w:r>
        <w:rPr>
          <w:rFonts w:hint="eastAsia" w:ascii="仿宋_GB2312" w:hAnsi="仿宋_GB2312" w:eastAsia="仿宋_GB2312" w:cs="仿宋_GB2312"/>
          <w:b w:val="0"/>
          <w:bCs w:val="0"/>
          <w:sz w:val="32"/>
          <w:szCs w:val="32"/>
        </w:rPr>
        <w:t>《北京市促进知识产权质押融资服务高质量发展专项资金使用管理办法</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暂行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val="en-US"/>
        </w:rPr>
        <w:t>《关于促进北京市知识产权质押融资服务高质量发展的实施方案》等制度文件</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rPr>
        <w:t>为项目管理与监督提供了制度保障</w:t>
      </w:r>
      <w:r>
        <w:rPr>
          <w:rFonts w:hint="eastAsia" w:ascii="仿宋_GB2312" w:hAnsi="仿宋_GB2312" w:eastAsia="仿宋_GB2312" w:cs="仿宋_GB2312"/>
          <w:b w:val="0"/>
          <w:bCs w:val="0"/>
          <w:sz w:val="32"/>
          <w:szCs w:val="32"/>
        </w:rPr>
        <w:t>。</w:t>
      </w:r>
      <w:r>
        <w:rPr>
          <w:rFonts w:hint="eastAsia"/>
          <w:b/>
          <w:bCs/>
          <w:szCs w:val="32"/>
          <w:lang w:val="en-US"/>
        </w:rPr>
        <w:t>制度执行有效性</w:t>
      </w:r>
      <w:r>
        <w:rPr>
          <w:rFonts w:hint="eastAsia"/>
          <w:b/>
          <w:bCs/>
          <w:szCs w:val="32"/>
          <w:lang w:val="en-US" w:eastAsia="zh-CN"/>
        </w:rPr>
        <w:t>：</w:t>
      </w:r>
      <w:r>
        <w:rPr>
          <w:rFonts w:hint="eastAsia"/>
          <w:szCs w:val="32"/>
          <w:lang w:val="en-US"/>
        </w:rPr>
        <w:t>项目单位按照</w:t>
      </w:r>
      <w:r>
        <w:rPr>
          <w:rFonts w:hint="eastAsia"/>
          <w:szCs w:val="32"/>
        </w:rPr>
        <w:t>管理办法</w:t>
      </w:r>
      <w:r>
        <w:rPr>
          <w:rFonts w:hint="eastAsia"/>
          <w:szCs w:val="32"/>
          <w:lang w:val="en-US"/>
        </w:rPr>
        <w:t>中的规定开展补贴工作。但项目执行过程中</w:t>
      </w:r>
      <w:r>
        <w:rPr>
          <w:rFonts w:hint="eastAsia"/>
          <w:szCs w:val="32"/>
          <w:lang w:val="en-US" w:eastAsia="zh-CN"/>
        </w:rPr>
        <w:t>对</w:t>
      </w:r>
      <w:r>
        <w:rPr>
          <w:rFonts w:hint="eastAsia"/>
          <w:szCs w:val="32"/>
          <w:lang w:val="en-US"/>
        </w:rPr>
        <w:t>专家审核</w:t>
      </w:r>
      <w:r>
        <w:rPr>
          <w:rFonts w:hint="eastAsia"/>
          <w:szCs w:val="32"/>
          <w:lang w:val="en-US" w:eastAsia="zh-CN"/>
        </w:rPr>
        <w:t>的</w:t>
      </w:r>
      <w:r>
        <w:rPr>
          <w:rFonts w:hint="eastAsia"/>
          <w:szCs w:val="32"/>
          <w:lang w:val="en-US"/>
        </w:rPr>
        <w:t>质量要求</w:t>
      </w:r>
      <w:r>
        <w:rPr>
          <w:rFonts w:hint="eastAsia"/>
          <w:szCs w:val="32"/>
          <w:lang w:val="en-US" w:eastAsia="zh-CN"/>
        </w:rPr>
        <w:t>不够</w:t>
      </w:r>
      <w:r>
        <w:rPr>
          <w:rFonts w:hint="eastAsia"/>
          <w:szCs w:val="32"/>
          <w:lang w:val="en-US"/>
        </w:rPr>
        <w:t>清晰。</w:t>
      </w:r>
      <w:r>
        <w:rPr>
          <w:rFonts w:hint="eastAsia"/>
          <w:szCs w:val="32"/>
          <w:lang w:val="en-US" w:eastAsia="zh-CN"/>
        </w:rPr>
        <w:t xml:space="preserve"> </w:t>
      </w:r>
    </w:p>
    <w:p>
      <w:pPr>
        <w:keepNext w:val="0"/>
        <w:pageBreakBefore w:val="0"/>
        <w:widowControl w:val="0"/>
        <w:kinsoku/>
        <w:wordWrap/>
        <w:overflowPunct/>
        <w:topLinePunct w:val="0"/>
        <w:autoSpaceDE w:val="0"/>
        <w:autoSpaceDN w:val="0"/>
        <w:bidi w:val="0"/>
        <w:adjustRightInd w:val="0"/>
        <w:snapToGrid w:val="0"/>
        <w:ind w:firstLine="643"/>
        <w:jc w:val="both"/>
        <w:textAlignment w:val="auto"/>
        <w:rPr>
          <w:rFonts w:hint="eastAsia" w:ascii="楷体_GB2312" w:hAnsi="楷体_GB2312" w:eastAsia="楷体_GB2312" w:cs="楷体_GB2312"/>
          <w:b w:val="0"/>
          <w:bCs/>
          <w:sz w:val="32"/>
          <w:szCs w:val="22"/>
          <w:lang w:val="en-US" w:eastAsia="zh-CN" w:bidi="zh-CN"/>
        </w:rPr>
      </w:pPr>
      <w:r>
        <w:rPr>
          <w:rFonts w:hint="eastAsia" w:ascii="楷体_GB2312" w:hAnsi="楷体_GB2312" w:eastAsia="楷体_GB2312" w:cs="楷体_GB2312"/>
          <w:b w:val="0"/>
          <w:bCs/>
          <w:sz w:val="32"/>
          <w:szCs w:val="22"/>
          <w:lang w:val="en-US" w:eastAsia="zh-CN" w:bidi="zh-CN"/>
        </w:rPr>
        <w:tab/>
      </w:r>
      <w:bookmarkStart w:id="107" w:name="_Toc72853510"/>
      <w:bookmarkStart w:id="108" w:name="_Toc9640"/>
      <w:bookmarkStart w:id="109" w:name="_Toc19944"/>
      <w:bookmarkStart w:id="110" w:name="_Toc939"/>
      <w:r>
        <w:rPr>
          <w:rFonts w:hint="eastAsia" w:ascii="楷体_GB2312" w:hAnsi="楷体_GB2312" w:eastAsia="楷体_GB2312" w:cs="楷体_GB2312"/>
          <w:b w:val="0"/>
          <w:bCs/>
          <w:sz w:val="32"/>
          <w:szCs w:val="22"/>
          <w:lang w:val="en-US" w:eastAsia="zh-CN" w:bidi="zh-CN"/>
        </w:rPr>
        <w:t>（三）项目产出情况分析</w:t>
      </w:r>
      <w:bookmarkEnd w:id="107"/>
      <w:bookmarkEnd w:id="108"/>
      <w:bookmarkEnd w:id="109"/>
      <w:bookmarkEnd w:id="110"/>
      <w:bookmarkStart w:id="111" w:name="_Toc2641"/>
      <w:bookmarkStart w:id="112" w:name="_Toc72853511"/>
      <w:bookmarkStart w:id="113" w:name="_Toc10089"/>
      <w:bookmarkStart w:id="114" w:name="_Toc16392"/>
      <w:bookmarkStart w:id="115" w:name="_Toc24373"/>
      <w:bookmarkStart w:id="116" w:name="_Toc8618"/>
      <w:bookmarkStart w:id="117" w:name="_Toc72853515"/>
      <w:bookmarkStart w:id="118" w:name="_Toc26339"/>
    </w:p>
    <w:p>
      <w:pPr>
        <w:keepNext w:val="0"/>
        <w:pageBreakBefore w:val="0"/>
        <w:widowControl w:val="0"/>
        <w:kinsoku/>
        <w:wordWrap/>
        <w:overflowPunct/>
        <w:topLinePunct w:val="0"/>
        <w:autoSpaceDE w:val="0"/>
        <w:autoSpaceDN w:val="0"/>
        <w:bidi w:val="0"/>
        <w:adjustRightInd w:val="0"/>
        <w:snapToGrid w:val="0"/>
        <w:ind w:firstLine="643"/>
        <w:jc w:val="both"/>
        <w:textAlignment w:val="auto"/>
        <w:rPr>
          <w:b/>
          <w:bCs/>
          <w:szCs w:val="32"/>
          <w:lang w:val="en-US"/>
        </w:rPr>
      </w:pPr>
      <w:r>
        <w:rPr>
          <w:rFonts w:hint="eastAsia"/>
          <w:b/>
          <w:bCs/>
          <w:szCs w:val="32"/>
          <w:lang w:val="en-US"/>
        </w:rPr>
        <w:t>1.产出数量</w:t>
      </w:r>
      <w:bookmarkEnd w:id="111"/>
      <w:bookmarkEnd w:id="112"/>
      <w:r>
        <w:rPr>
          <w:rFonts w:hint="eastAsia"/>
          <w:b/>
          <w:bCs/>
          <w:szCs w:val="32"/>
          <w:lang w:val="en-US"/>
        </w:rPr>
        <w:t>情况分析</w:t>
      </w:r>
      <w:bookmarkEnd w:id="113"/>
      <w:bookmarkEnd w:id="114"/>
    </w:p>
    <w:p>
      <w:pPr>
        <w:keepNext w:val="0"/>
        <w:pageBreakBefore w:val="0"/>
        <w:widowControl w:val="0"/>
        <w:kinsoku/>
        <w:wordWrap/>
        <w:overflowPunct/>
        <w:topLinePunct w:val="0"/>
        <w:autoSpaceDE w:val="0"/>
        <w:autoSpaceDN w:val="0"/>
        <w:bidi w:val="0"/>
        <w:adjustRightInd w:val="0"/>
        <w:snapToGrid w:val="0"/>
        <w:ind w:firstLine="643"/>
        <w:jc w:val="both"/>
        <w:textAlignment w:val="auto"/>
        <w:rPr>
          <w:szCs w:val="32"/>
          <w:highlight w:val="none"/>
          <w:lang w:val="en-US"/>
        </w:rPr>
      </w:pPr>
      <w:r>
        <w:rPr>
          <w:rFonts w:hint="eastAsia"/>
          <w:b/>
          <w:bCs/>
          <w:szCs w:val="32"/>
          <w:lang w:val="en-US"/>
        </w:rPr>
        <w:t>质押融资工作宣传培训触达企业数量</w:t>
      </w:r>
      <w:r>
        <w:rPr>
          <w:rFonts w:hint="eastAsia"/>
          <w:b/>
          <w:bCs/>
          <w:szCs w:val="32"/>
          <w:lang w:val="en-US" w:eastAsia="zh-CN"/>
        </w:rPr>
        <w:t>：</w:t>
      </w:r>
      <w:r>
        <w:rPr>
          <w:rFonts w:hint="eastAsia"/>
          <w:szCs w:val="32"/>
          <w:lang w:val="en-US"/>
        </w:rPr>
        <w:t>2024年本项目</w:t>
      </w:r>
      <w:r>
        <w:rPr>
          <w:rFonts w:hint="eastAsia"/>
          <w:szCs w:val="32"/>
          <w:lang w:val="en-US" w:eastAsia="zh-CN"/>
        </w:rPr>
        <w:t>计划对300家及以上</w:t>
      </w:r>
      <w:r>
        <w:rPr>
          <w:rFonts w:hint="eastAsia"/>
          <w:szCs w:val="32"/>
          <w:lang w:val="en-US"/>
        </w:rPr>
        <w:t>企业及银行等金融机构开展政策宣贯、培训等活动</w:t>
      </w:r>
      <w:r>
        <w:rPr>
          <w:rFonts w:hint="eastAsia"/>
          <w:szCs w:val="32"/>
          <w:lang w:val="en-US" w:eastAsia="zh-CN"/>
        </w:rPr>
        <w:t>，</w:t>
      </w:r>
      <w:r>
        <w:rPr>
          <w:rFonts w:hint="eastAsia"/>
          <w:szCs w:val="32"/>
          <w:lang w:val="en-US"/>
        </w:rPr>
        <w:t>实际</w:t>
      </w:r>
      <w:r>
        <w:rPr>
          <w:rFonts w:hint="eastAsia"/>
          <w:szCs w:val="32"/>
          <w:lang w:val="en-US" w:eastAsia="zh-CN"/>
        </w:rPr>
        <w:t>完成值</w:t>
      </w:r>
      <w:r>
        <w:rPr>
          <w:rFonts w:hint="eastAsia"/>
          <w:szCs w:val="32"/>
          <w:lang w:val="en-US"/>
        </w:rPr>
        <w:t>超过400家</w:t>
      </w:r>
      <w:r>
        <w:rPr>
          <w:rFonts w:hint="eastAsia"/>
          <w:szCs w:val="32"/>
          <w:lang w:val="en-US" w:eastAsia="zh-CN"/>
        </w:rPr>
        <w:t>，计划值与实际完成值偏差较大</w:t>
      </w:r>
      <w:r>
        <w:rPr>
          <w:rFonts w:hint="eastAsia"/>
          <w:szCs w:val="32"/>
          <w:lang w:val="en-US"/>
        </w:rPr>
        <w:t>。</w:t>
      </w:r>
      <w:r>
        <w:rPr>
          <w:rFonts w:hint="eastAsia"/>
          <w:b/>
          <w:bCs/>
          <w:szCs w:val="32"/>
          <w:highlight w:val="none"/>
          <w:lang w:val="en-US"/>
        </w:rPr>
        <w:t>知识产权质押贷款贴息、知识产权质押融资综合成本费用补贴和知识产权质押融资风险补偿支持企业数量</w:t>
      </w:r>
      <w:r>
        <w:rPr>
          <w:rFonts w:hint="eastAsia"/>
          <w:b/>
          <w:bCs/>
          <w:szCs w:val="32"/>
          <w:highlight w:val="none"/>
          <w:lang w:val="en-US" w:eastAsia="zh-CN"/>
        </w:rPr>
        <w:t>：</w:t>
      </w:r>
      <w:r>
        <w:rPr>
          <w:rFonts w:hint="eastAsia"/>
          <w:szCs w:val="32"/>
          <w:highlight w:val="none"/>
          <w:lang w:val="en-US"/>
        </w:rPr>
        <w:t>2024年本项目</w:t>
      </w:r>
      <w:r>
        <w:rPr>
          <w:rFonts w:hint="eastAsia"/>
          <w:szCs w:val="32"/>
          <w:highlight w:val="none"/>
          <w:lang w:val="en-US" w:eastAsia="zh-CN"/>
        </w:rPr>
        <w:t>计划</w:t>
      </w:r>
      <w:r>
        <w:rPr>
          <w:rFonts w:hint="eastAsia"/>
          <w:szCs w:val="32"/>
          <w:highlight w:val="none"/>
          <w:lang w:val="en-US"/>
        </w:rPr>
        <w:t>支持企业数量为</w:t>
      </w:r>
      <w:r>
        <w:rPr>
          <w:rFonts w:hint="eastAsia"/>
          <w:szCs w:val="32"/>
          <w:highlight w:val="none"/>
          <w:lang w:val="en-US" w:eastAsia="zh-CN"/>
        </w:rPr>
        <w:t>100</w:t>
      </w:r>
      <w:r>
        <w:rPr>
          <w:rFonts w:hint="eastAsia"/>
          <w:szCs w:val="32"/>
          <w:highlight w:val="none"/>
          <w:lang w:val="en-US"/>
        </w:rPr>
        <w:t>家</w:t>
      </w:r>
      <w:r>
        <w:rPr>
          <w:rFonts w:hint="eastAsia"/>
          <w:szCs w:val="32"/>
          <w:highlight w:val="none"/>
          <w:lang w:val="en-US" w:eastAsia="zh-CN"/>
        </w:rPr>
        <w:t>及以上，实际完成值为</w:t>
      </w:r>
      <w:r>
        <w:rPr>
          <w:rFonts w:ascii="仿宋_GB2312" w:hAnsi="宋体" w:eastAsia="仿宋_GB2312" w:cs="宋体"/>
          <w:color w:val="000000" w:themeColor="text1"/>
          <w:kern w:val="0"/>
          <w:szCs w:val="21"/>
          <w14:textFill>
            <w14:solidFill>
              <w14:schemeClr w14:val="tx1"/>
            </w14:solidFill>
          </w14:textFill>
        </w:rPr>
        <w:t>297</w:t>
      </w:r>
      <w:r>
        <w:rPr>
          <w:rFonts w:hint="eastAsia" w:ascii="仿宋_GB2312" w:hAnsi="宋体" w:eastAsia="仿宋_GB2312" w:cs="宋体"/>
          <w:color w:val="000000" w:themeColor="text1"/>
          <w:kern w:val="0"/>
          <w:szCs w:val="21"/>
          <w14:textFill>
            <w14:solidFill>
              <w14:schemeClr w14:val="tx1"/>
            </w14:solidFill>
          </w14:textFill>
        </w:rPr>
        <w:t>家</w:t>
      </w:r>
      <w:r>
        <w:rPr>
          <w:rFonts w:hint="eastAsia" w:hAnsi="宋体" w:cs="宋体"/>
          <w:color w:val="000000" w:themeColor="text1"/>
          <w:kern w:val="0"/>
          <w:szCs w:val="21"/>
          <w:lang w:eastAsia="zh-CN"/>
          <w14:textFill>
            <w14:solidFill>
              <w14:schemeClr w14:val="tx1"/>
            </w14:solidFill>
          </w14:textFill>
        </w:rPr>
        <w:t>，</w:t>
      </w:r>
      <w:r>
        <w:rPr>
          <w:rFonts w:hint="eastAsia"/>
          <w:szCs w:val="32"/>
          <w:lang w:val="en-US" w:eastAsia="zh-CN"/>
        </w:rPr>
        <w:t>计划值与实际完成值偏差较大</w:t>
      </w:r>
      <w:r>
        <w:rPr>
          <w:rFonts w:hint="eastAsia"/>
          <w:szCs w:val="32"/>
          <w:highlight w:val="none"/>
          <w:lang w:val="en-US"/>
        </w:rPr>
        <w:t>。</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szCs w:val="32"/>
          <w:highlight w:val="none"/>
          <w:lang w:val="en-US"/>
        </w:rPr>
      </w:pPr>
      <w:bookmarkStart w:id="119" w:name="_Toc19798"/>
      <w:bookmarkStart w:id="120" w:name="_Toc72853512"/>
      <w:bookmarkStart w:id="121" w:name="_Toc10638"/>
      <w:bookmarkStart w:id="122" w:name="_Toc24912"/>
      <w:r>
        <w:rPr>
          <w:rFonts w:hint="eastAsia"/>
          <w:szCs w:val="32"/>
          <w:highlight w:val="none"/>
          <w:lang w:val="en-US"/>
        </w:rPr>
        <w:t>2.产出质量</w:t>
      </w:r>
      <w:bookmarkEnd w:id="119"/>
      <w:bookmarkEnd w:id="120"/>
      <w:r>
        <w:rPr>
          <w:rFonts w:hint="eastAsia"/>
          <w:szCs w:val="32"/>
          <w:highlight w:val="none"/>
          <w:lang w:val="en-US"/>
        </w:rPr>
        <w:t>情况分析</w:t>
      </w:r>
      <w:bookmarkEnd w:id="121"/>
      <w:bookmarkEnd w:id="122"/>
    </w:p>
    <w:p>
      <w:pPr>
        <w:keepNext w:val="0"/>
        <w:pageBreakBefore w:val="0"/>
        <w:widowControl w:val="0"/>
        <w:kinsoku/>
        <w:wordWrap/>
        <w:overflowPunct/>
        <w:topLinePunct w:val="0"/>
        <w:autoSpaceDE w:val="0"/>
        <w:autoSpaceDN w:val="0"/>
        <w:bidi w:val="0"/>
        <w:adjustRightInd w:val="0"/>
        <w:snapToGrid w:val="0"/>
        <w:ind w:firstLine="643"/>
        <w:jc w:val="both"/>
        <w:textAlignment w:val="auto"/>
        <w:rPr>
          <w:b/>
          <w:bCs/>
          <w:szCs w:val="32"/>
          <w:highlight w:val="none"/>
          <w:lang w:val="en-US"/>
        </w:rPr>
      </w:pPr>
      <w:r>
        <w:rPr>
          <w:rFonts w:hint="eastAsia"/>
          <w:b/>
          <w:bCs/>
          <w:szCs w:val="32"/>
          <w:highlight w:val="none"/>
          <w:lang w:val="en-US"/>
        </w:rPr>
        <w:t>政策宣贯情况</w:t>
      </w:r>
      <w:r>
        <w:rPr>
          <w:rFonts w:hint="eastAsia"/>
          <w:b/>
          <w:bCs/>
          <w:szCs w:val="32"/>
          <w:highlight w:val="none"/>
          <w:lang w:val="en-US" w:eastAsia="zh-CN"/>
        </w:rPr>
        <w:t>：</w:t>
      </w:r>
      <w:r>
        <w:rPr>
          <w:rFonts w:hint="eastAsia"/>
          <w:szCs w:val="32"/>
          <w:highlight w:val="none"/>
          <w:lang w:val="en-US" w:eastAsia="zh-CN"/>
        </w:rPr>
        <w:t>2024年，举办北京市知识产权保险产品迭代研讨会、北京市知识产权保险出险企业交流会等活动，不断强化知识产权金融人才培养工作，但</w:t>
      </w:r>
      <w:r>
        <w:rPr>
          <w:rFonts w:hint="eastAsia" w:hAnsi="等线" w:cs="宋体"/>
          <w:szCs w:val="32"/>
          <w:lang w:val="en-US"/>
        </w:rPr>
        <w:t>佐证资料不够充分、完善。</w:t>
      </w:r>
      <w:r>
        <w:rPr>
          <w:rFonts w:hint="eastAsia"/>
          <w:b/>
          <w:bCs/>
          <w:szCs w:val="32"/>
          <w:highlight w:val="none"/>
          <w:lang w:val="en-US"/>
        </w:rPr>
        <w:t>资金补贴下发准确情况</w:t>
      </w:r>
      <w:r>
        <w:rPr>
          <w:rFonts w:hint="eastAsia"/>
          <w:b/>
          <w:bCs/>
          <w:szCs w:val="32"/>
          <w:highlight w:val="none"/>
          <w:lang w:val="en-US" w:eastAsia="zh-CN"/>
        </w:rPr>
        <w:t>：</w:t>
      </w:r>
      <w:r>
        <w:rPr>
          <w:rFonts w:hint="eastAsia"/>
          <w:szCs w:val="32"/>
          <w:highlight w:val="none"/>
          <w:lang w:val="en-US"/>
        </w:rPr>
        <w:t>本项目按照补贴企业清单，逐一发放补贴资金，补贴资金已准确下发，未出现错发情况。</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szCs w:val="32"/>
          <w:lang w:val="en-US"/>
        </w:rPr>
      </w:pPr>
      <w:bookmarkStart w:id="123" w:name="_Toc7929"/>
      <w:bookmarkStart w:id="124" w:name="_Toc72853513"/>
      <w:bookmarkStart w:id="125" w:name="_Toc561"/>
      <w:bookmarkStart w:id="126" w:name="_Toc25912"/>
      <w:r>
        <w:rPr>
          <w:rFonts w:hint="eastAsia"/>
          <w:szCs w:val="32"/>
          <w:lang w:val="en-US"/>
        </w:rPr>
        <w:t>3.产出时效</w:t>
      </w:r>
      <w:bookmarkEnd w:id="123"/>
      <w:bookmarkEnd w:id="124"/>
      <w:r>
        <w:rPr>
          <w:rFonts w:hint="eastAsia"/>
          <w:szCs w:val="32"/>
          <w:lang w:val="en-US"/>
        </w:rPr>
        <w:t>情况分析</w:t>
      </w:r>
      <w:bookmarkEnd w:id="125"/>
      <w:bookmarkEnd w:id="126"/>
    </w:p>
    <w:p>
      <w:pPr>
        <w:keepNext w:val="0"/>
        <w:pageBreakBefore w:val="0"/>
        <w:widowControl w:val="0"/>
        <w:kinsoku/>
        <w:wordWrap/>
        <w:overflowPunct/>
        <w:topLinePunct w:val="0"/>
        <w:autoSpaceDE w:val="0"/>
        <w:autoSpaceDN w:val="0"/>
        <w:bidi w:val="0"/>
        <w:adjustRightInd w:val="0"/>
        <w:snapToGrid w:val="0"/>
        <w:ind w:firstLine="643"/>
        <w:jc w:val="both"/>
        <w:textAlignment w:val="auto"/>
        <w:rPr>
          <w:szCs w:val="32"/>
          <w:lang w:val="en-US"/>
        </w:rPr>
      </w:pPr>
      <w:r>
        <w:rPr>
          <w:rFonts w:hint="eastAsia"/>
          <w:b/>
          <w:bCs/>
          <w:szCs w:val="32"/>
          <w:lang w:val="en-US"/>
        </w:rPr>
        <w:t>项目审核及时性</w:t>
      </w:r>
      <w:r>
        <w:rPr>
          <w:rFonts w:hint="eastAsia"/>
          <w:b/>
          <w:bCs/>
          <w:szCs w:val="32"/>
          <w:lang w:val="en-US" w:eastAsia="zh-CN"/>
        </w:rPr>
        <w:t>：</w:t>
      </w:r>
      <w:r>
        <w:rPr>
          <w:rFonts w:hint="eastAsia"/>
          <w:sz w:val="32"/>
          <w:szCs w:val="32"/>
          <w:lang w:val="en-US" w:eastAsia="zh" w:bidi="zh-CN"/>
        </w:rPr>
        <w:t>于</w:t>
      </w:r>
      <w:r>
        <w:rPr>
          <w:rFonts w:hint="eastAsia" w:ascii="仿宋_GB2312" w:eastAsia="仿宋_GB2312"/>
          <w:sz w:val="32"/>
          <w:szCs w:val="32"/>
          <w:lang w:val="zh-CN" w:eastAsia="zh" w:bidi="zh-CN"/>
        </w:rPr>
        <w:t>2024年2</w:t>
      </w:r>
      <w:r>
        <w:rPr>
          <w:rFonts w:hint="eastAsia"/>
          <w:sz w:val="32"/>
          <w:szCs w:val="32"/>
          <w:lang w:val="en-US" w:eastAsia="zh" w:bidi="zh-CN"/>
        </w:rPr>
        <w:t>-</w:t>
      </w:r>
      <w:r>
        <w:rPr>
          <w:rFonts w:hint="eastAsia" w:ascii="仿宋_GB2312" w:eastAsia="仿宋_GB2312"/>
          <w:sz w:val="32"/>
          <w:szCs w:val="32"/>
          <w:lang w:val="zh-CN" w:eastAsia="zh" w:bidi="zh-CN"/>
        </w:rPr>
        <w:t>4月</w:t>
      </w:r>
      <w:r>
        <w:rPr>
          <w:rFonts w:hint="eastAsia"/>
          <w:sz w:val="32"/>
          <w:szCs w:val="32"/>
          <w:lang w:val="zh-CN" w:eastAsia="zh" w:bidi="zh-CN"/>
        </w:rPr>
        <w:t>、</w:t>
      </w:r>
      <w:r>
        <w:rPr>
          <w:rFonts w:hint="eastAsia"/>
          <w:sz w:val="32"/>
          <w:szCs w:val="32"/>
          <w:lang w:val="en-US" w:eastAsia="zh" w:bidi="zh-CN"/>
        </w:rPr>
        <w:t>2024年</w:t>
      </w:r>
      <w:r>
        <w:rPr>
          <w:rFonts w:hint="eastAsia" w:ascii="仿宋_GB2312" w:eastAsia="仿宋_GB2312"/>
          <w:sz w:val="32"/>
          <w:szCs w:val="32"/>
          <w:lang w:val="zh-CN" w:eastAsia="zh" w:bidi="zh-CN"/>
        </w:rPr>
        <w:t>7</w:t>
      </w:r>
      <w:r>
        <w:rPr>
          <w:rFonts w:hint="eastAsia"/>
          <w:sz w:val="32"/>
          <w:szCs w:val="32"/>
          <w:lang w:val="en-US" w:eastAsia="zh" w:bidi="zh-CN"/>
        </w:rPr>
        <w:t>-</w:t>
      </w:r>
      <w:r>
        <w:rPr>
          <w:rFonts w:hint="eastAsia" w:ascii="仿宋_GB2312" w:eastAsia="仿宋_GB2312"/>
          <w:sz w:val="32"/>
          <w:szCs w:val="32"/>
          <w:lang w:val="zh-CN" w:eastAsia="zh" w:bidi="zh-CN"/>
        </w:rPr>
        <w:t>9月</w:t>
      </w:r>
      <w:r>
        <w:rPr>
          <w:rFonts w:hint="eastAsia"/>
          <w:sz w:val="32"/>
          <w:szCs w:val="32"/>
          <w:lang w:val="en-US" w:eastAsia="zh" w:bidi="zh-CN"/>
        </w:rPr>
        <w:t>分别对</w:t>
      </w:r>
      <w:r>
        <w:rPr>
          <w:rFonts w:hint="eastAsia" w:ascii="仿宋_GB2312" w:eastAsia="仿宋_GB2312"/>
          <w:sz w:val="32"/>
          <w:szCs w:val="32"/>
          <w:lang w:val="zh-CN" w:eastAsia="zh" w:bidi="zh-CN"/>
        </w:rPr>
        <w:t>第一批</w:t>
      </w:r>
      <w:r>
        <w:rPr>
          <w:rFonts w:hint="eastAsia"/>
          <w:sz w:val="32"/>
          <w:szCs w:val="32"/>
          <w:lang w:val="zh-CN" w:eastAsia="zh" w:bidi="zh-CN"/>
        </w:rPr>
        <w:t>、</w:t>
      </w:r>
      <w:r>
        <w:rPr>
          <w:rFonts w:hint="eastAsia"/>
          <w:sz w:val="32"/>
          <w:szCs w:val="32"/>
          <w:lang w:val="en-US" w:eastAsia="zh" w:bidi="zh-CN"/>
        </w:rPr>
        <w:t>第二批</w:t>
      </w:r>
      <w:r>
        <w:rPr>
          <w:rFonts w:hint="eastAsia" w:ascii="仿宋_GB2312" w:eastAsia="仿宋_GB2312"/>
          <w:sz w:val="32"/>
          <w:szCs w:val="32"/>
          <w:lang w:val="zh-CN" w:eastAsia="zh" w:bidi="zh-CN"/>
        </w:rPr>
        <w:t>申报项目进行初审</w:t>
      </w:r>
      <w:r>
        <w:rPr>
          <w:rFonts w:hint="eastAsia"/>
          <w:sz w:val="32"/>
          <w:szCs w:val="32"/>
          <w:lang w:val="zh-CN" w:eastAsia="zh" w:bidi="zh-CN"/>
        </w:rPr>
        <w:t>，</w:t>
      </w:r>
      <w:r>
        <w:rPr>
          <w:rFonts w:hint="eastAsia"/>
          <w:sz w:val="32"/>
          <w:szCs w:val="32"/>
          <w:lang w:val="en-US" w:eastAsia="zh" w:bidi="zh-CN"/>
        </w:rPr>
        <w:t>2024年</w:t>
      </w:r>
      <w:r>
        <w:rPr>
          <w:rFonts w:hint="eastAsia"/>
          <w:sz w:val="32"/>
          <w:szCs w:val="32"/>
          <w:lang w:val="zh-CN" w:eastAsia="zh" w:bidi="zh-CN"/>
        </w:rPr>
        <w:t>10月11日组织</w:t>
      </w:r>
      <w:r>
        <w:rPr>
          <w:rFonts w:hint="eastAsia"/>
          <w:sz w:val="32"/>
          <w:szCs w:val="32"/>
          <w:lang w:val="en-US" w:eastAsia="zh" w:bidi="zh-CN"/>
        </w:rPr>
        <w:t>复审。但</w:t>
      </w:r>
      <w:r>
        <w:rPr>
          <w:rFonts w:hint="eastAsia" w:ascii="仿宋_GB2312" w:eastAsia="仿宋_GB2312"/>
          <w:sz w:val="32"/>
          <w:szCs w:val="32"/>
          <w:lang w:val="zh-CN" w:eastAsia="zh" w:bidi="zh-CN"/>
        </w:rPr>
        <w:t>因</w:t>
      </w:r>
      <w:r>
        <w:rPr>
          <w:rFonts w:hint="eastAsia" w:ascii="仿宋_GB2312" w:eastAsia="仿宋_GB2312"/>
          <w:sz w:val="32"/>
          <w:szCs w:val="32"/>
          <w:lang w:val="zh-CN" w:bidi="zh-CN"/>
        </w:rPr>
        <w:t>申报企业及项目数量大幅超预期,导致审核工作量增加,审核时间较预期时间增加,完成时间延迟。</w:t>
      </w:r>
      <w:r>
        <w:rPr>
          <w:rFonts w:hint="eastAsia"/>
          <w:b/>
          <w:bCs/>
          <w:szCs w:val="32"/>
          <w:lang w:val="en-US"/>
        </w:rPr>
        <w:t>补贴资金发放及时性</w:t>
      </w:r>
      <w:r>
        <w:rPr>
          <w:rFonts w:hint="eastAsia"/>
          <w:b/>
          <w:bCs/>
          <w:szCs w:val="32"/>
          <w:lang w:val="en-US" w:eastAsia="zh-CN"/>
        </w:rPr>
        <w:t>：</w:t>
      </w:r>
      <w:r>
        <w:rPr>
          <w:rFonts w:hint="eastAsia"/>
          <w:szCs w:val="32"/>
          <w:lang w:val="en-US"/>
        </w:rPr>
        <w:t>202</w:t>
      </w:r>
      <w:r>
        <w:rPr>
          <w:rFonts w:hint="eastAsia"/>
          <w:szCs w:val="32"/>
          <w:lang w:val="en-US" w:eastAsia="zh-CN"/>
        </w:rPr>
        <w:t>4</w:t>
      </w:r>
      <w:r>
        <w:rPr>
          <w:rFonts w:hint="eastAsia"/>
          <w:szCs w:val="32"/>
          <w:lang w:val="en-US"/>
        </w:rPr>
        <w:t>年12月</w:t>
      </w:r>
      <w:r>
        <w:rPr>
          <w:rFonts w:hint="eastAsia"/>
          <w:szCs w:val="32"/>
          <w:lang w:val="en-US" w:eastAsia="zh-CN"/>
        </w:rPr>
        <w:t>20</w:t>
      </w:r>
      <w:r>
        <w:rPr>
          <w:rFonts w:hint="eastAsia"/>
          <w:szCs w:val="32"/>
          <w:lang w:val="en-US"/>
        </w:rPr>
        <w:t>日-</w:t>
      </w:r>
      <w:r>
        <w:rPr>
          <w:rFonts w:hint="eastAsia"/>
          <w:szCs w:val="32"/>
          <w:lang w:val="en-US" w:eastAsia="zh-CN"/>
        </w:rPr>
        <w:t>31</w:t>
      </w:r>
      <w:r>
        <w:rPr>
          <w:rFonts w:hint="eastAsia"/>
          <w:szCs w:val="32"/>
          <w:lang w:val="en-US"/>
        </w:rPr>
        <w:t>日，项目单位完成对企业补贴的资金拨付工作。但项目</w:t>
      </w:r>
      <w:r>
        <w:rPr>
          <w:rFonts w:hint="eastAsia"/>
          <w:szCs w:val="32"/>
          <w:lang w:val="en-US" w:eastAsia="zh-CN"/>
        </w:rPr>
        <w:t>整体</w:t>
      </w:r>
      <w:r>
        <w:rPr>
          <w:rFonts w:hint="eastAsia"/>
          <w:szCs w:val="32"/>
          <w:lang w:val="en-US"/>
        </w:rPr>
        <w:t>计划于</w:t>
      </w:r>
      <w:r>
        <w:rPr>
          <w:rFonts w:hint="eastAsia"/>
          <w:szCs w:val="32"/>
        </w:rPr>
        <w:t>每年度10月底前完成</w:t>
      </w:r>
      <w:r>
        <w:rPr>
          <w:rFonts w:hint="eastAsia"/>
          <w:szCs w:val="32"/>
          <w:lang w:eastAsia="zh-CN"/>
        </w:rPr>
        <w:t>，</w:t>
      </w:r>
      <w:r>
        <w:rPr>
          <w:rFonts w:hint="eastAsia"/>
          <w:szCs w:val="32"/>
          <w:lang w:val="en-US"/>
        </w:rPr>
        <w:t>项目</w:t>
      </w:r>
      <w:r>
        <w:rPr>
          <w:rFonts w:hint="eastAsia"/>
          <w:szCs w:val="32"/>
          <w:lang w:val="en-US" w:eastAsia="zh-CN"/>
        </w:rPr>
        <w:t>实际</w:t>
      </w:r>
      <w:r>
        <w:rPr>
          <w:rFonts w:hint="eastAsia"/>
          <w:szCs w:val="32"/>
          <w:lang w:val="en-US"/>
        </w:rPr>
        <w:t>执行时间偏离计划要求</w:t>
      </w:r>
      <w:r>
        <w:rPr>
          <w:rFonts w:hint="eastAsia"/>
          <w:szCs w:val="32"/>
        </w:rPr>
        <w:t>。</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szCs w:val="32"/>
          <w:lang w:val="en-US"/>
        </w:rPr>
      </w:pPr>
      <w:bookmarkStart w:id="127" w:name="_Toc20717"/>
      <w:bookmarkStart w:id="128" w:name="_Toc72853514"/>
      <w:bookmarkStart w:id="129" w:name="_Toc3420"/>
      <w:bookmarkStart w:id="130" w:name="_Toc3663"/>
      <w:r>
        <w:rPr>
          <w:rFonts w:hint="eastAsia"/>
          <w:szCs w:val="32"/>
          <w:lang w:val="en-US"/>
        </w:rPr>
        <w:t>4.产出成本</w:t>
      </w:r>
      <w:bookmarkEnd w:id="127"/>
      <w:bookmarkEnd w:id="128"/>
      <w:r>
        <w:rPr>
          <w:rFonts w:hint="eastAsia"/>
          <w:szCs w:val="32"/>
          <w:lang w:val="en-US"/>
        </w:rPr>
        <w:t>情况分析</w:t>
      </w:r>
      <w:bookmarkEnd w:id="129"/>
      <w:bookmarkEnd w:id="130"/>
    </w:p>
    <w:p>
      <w:pPr>
        <w:keepNext w:val="0"/>
        <w:pageBreakBefore w:val="0"/>
        <w:widowControl w:val="0"/>
        <w:kinsoku/>
        <w:wordWrap/>
        <w:overflowPunct/>
        <w:topLinePunct w:val="0"/>
        <w:autoSpaceDE w:val="0"/>
        <w:autoSpaceDN w:val="0"/>
        <w:bidi w:val="0"/>
        <w:adjustRightInd w:val="0"/>
        <w:snapToGrid w:val="0"/>
        <w:ind w:firstLine="640"/>
        <w:jc w:val="both"/>
        <w:textAlignment w:val="auto"/>
        <w:rPr>
          <w:szCs w:val="32"/>
          <w:lang w:val="en-US"/>
        </w:rPr>
      </w:pPr>
      <w:r>
        <w:rPr>
          <w:rFonts w:hint="eastAsia"/>
          <w:szCs w:val="32"/>
          <w:lang w:val="en-US"/>
        </w:rPr>
        <w:t>202</w:t>
      </w:r>
      <w:r>
        <w:rPr>
          <w:rFonts w:hint="eastAsia"/>
          <w:szCs w:val="32"/>
          <w:lang w:val="en-US" w:eastAsia="zh-CN"/>
        </w:rPr>
        <w:t>4</w:t>
      </w:r>
      <w:r>
        <w:rPr>
          <w:rFonts w:hint="eastAsia"/>
          <w:szCs w:val="32"/>
          <w:lang w:val="en-US"/>
        </w:rPr>
        <w:t>年度申请用于北京市知识产权质押融资成本分担项目全年预算</w:t>
      </w:r>
      <w:r>
        <w:rPr>
          <w:rFonts w:hint="eastAsia"/>
          <w:szCs w:val="32"/>
          <w:lang w:val="en-US" w:eastAsia="zh-CN"/>
        </w:rPr>
        <w:t>4602</w:t>
      </w:r>
      <w:r>
        <w:rPr>
          <w:rFonts w:hint="eastAsia"/>
          <w:szCs w:val="32"/>
          <w:lang w:val="en-US"/>
        </w:rPr>
        <w:t>万元，实际支出4121.</w:t>
      </w:r>
      <w:r>
        <w:rPr>
          <w:rFonts w:hint="eastAsia"/>
          <w:szCs w:val="32"/>
          <w:lang w:val="en-US" w:eastAsia="zh-CN"/>
        </w:rPr>
        <w:t>25</w:t>
      </w:r>
      <w:r>
        <w:rPr>
          <w:rFonts w:hint="eastAsia"/>
          <w:szCs w:val="32"/>
          <w:lang w:val="en-US"/>
        </w:rPr>
        <w:t>万元,实际资金使用未超出项目预算，成本总体控制情况好。</w:t>
      </w:r>
    </w:p>
    <w:p>
      <w:pPr>
        <w:pStyle w:val="3"/>
        <w:keepNext w:val="0"/>
        <w:pageBreakBefore w:val="0"/>
        <w:widowControl w:val="0"/>
        <w:kinsoku/>
        <w:wordWrap/>
        <w:overflowPunct/>
        <w:topLinePunct w:val="0"/>
        <w:autoSpaceDE w:val="0"/>
        <w:autoSpaceDN w:val="0"/>
        <w:bidi w:val="0"/>
        <w:adjustRightInd w:val="0"/>
        <w:snapToGrid w:val="0"/>
        <w:textAlignment w:val="auto"/>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（四）项目效益情况分析</w:t>
      </w:r>
      <w:bookmarkEnd w:id="115"/>
      <w:bookmarkEnd w:id="116"/>
      <w:bookmarkEnd w:id="117"/>
      <w:bookmarkEnd w:id="118"/>
    </w:p>
    <w:p>
      <w:pPr>
        <w:pStyle w:val="4"/>
        <w:keepNext w:val="0"/>
        <w:keepLines w:val="0"/>
        <w:pageBreakBefore w:val="0"/>
        <w:widowControl w:val="0"/>
        <w:kinsoku/>
        <w:wordWrap/>
        <w:overflowPunct/>
        <w:topLinePunct w:val="0"/>
        <w:autoSpaceDE w:val="0"/>
        <w:autoSpaceDN w:val="0"/>
        <w:bidi w:val="0"/>
        <w:adjustRightInd w:val="0"/>
        <w:snapToGrid w:val="0"/>
        <w:ind w:firstLine="643"/>
        <w:textAlignment w:val="auto"/>
        <w:rPr>
          <w:szCs w:val="32"/>
          <w:lang w:val="en-US"/>
        </w:rPr>
      </w:pPr>
      <w:bookmarkStart w:id="131" w:name="_Toc19149"/>
      <w:bookmarkStart w:id="132" w:name="_Toc14279"/>
      <w:bookmarkStart w:id="133" w:name="_Toc10775"/>
      <w:bookmarkStart w:id="134" w:name="_Toc72853516"/>
      <w:bookmarkStart w:id="135" w:name="_Toc72853518"/>
      <w:bookmarkStart w:id="136" w:name="_Toc9938"/>
      <w:bookmarkStart w:id="137" w:name="_Toc14711"/>
      <w:bookmarkStart w:id="138" w:name="_Toc21855"/>
      <w:r>
        <w:rPr>
          <w:rFonts w:hint="eastAsia"/>
          <w:szCs w:val="32"/>
          <w:lang w:val="en-US"/>
        </w:rPr>
        <w:t>1.项目效益情况分析</w:t>
      </w:r>
      <w:bookmarkEnd w:id="131"/>
      <w:bookmarkEnd w:id="132"/>
      <w:bookmarkEnd w:id="133"/>
      <w:bookmarkEnd w:id="134"/>
    </w:p>
    <w:p>
      <w:pPr>
        <w:keepNext w:val="0"/>
        <w:keepLines w:val="0"/>
        <w:pageBreakBefore w:val="0"/>
        <w:widowControl w:val="0"/>
        <w:kinsoku/>
        <w:wordWrap/>
        <w:overflowPunct/>
        <w:topLinePunct w:val="0"/>
        <w:autoSpaceDE w:val="0"/>
        <w:autoSpaceDN w:val="0"/>
        <w:bidi w:val="0"/>
        <w:adjustRightInd w:val="0"/>
        <w:snapToGrid w:val="0"/>
        <w:ind w:firstLine="643"/>
        <w:jc w:val="both"/>
        <w:textAlignment w:val="auto"/>
        <w:rPr>
          <w:szCs w:val="32"/>
          <w:lang w:val="en-US"/>
        </w:rPr>
      </w:pPr>
      <w:r>
        <w:rPr>
          <w:rFonts w:hint="eastAsia"/>
          <w:b/>
          <w:bCs/>
          <w:szCs w:val="32"/>
          <w:lang w:val="en-US"/>
        </w:rPr>
        <w:t>促进企业知识产权质押贷款规模持续健康增长，惠及中小企业数量增长情况</w:t>
      </w:r>
      <w:r>
        <w:rPr>
          <w:rFonts w:hint="eastAsia"/>
          <w:b/>
          <w:bCs/>
          <w:szCs w:val="32"/>
          <w:lang w:val="en-US" w:eastAsia="zh-CN"/>
        </w:rPr>
        <w:t>：</w:t>
      </w:r>
      <w:r>
        <w:rPr>
          <w:rFonts w:hint="eastAsia"/>
          <w:highlight w:val="none"/>
          <w:lang w:val="en-US" w:eastAsia="zh-CN"/>
        </w:rPr>
        <w:t>2024年贴息和综合成本补贴项目共涉及北京市25家银行的141个分支行和11家担保机构，银行数量较2023年增加13.6%，分支行增加35.6%，担保机构增加10%。</w:t>
      </w:r>
      <w:r>
        <w:rPr>
          <w:rFonts w:hint="eastAsia" w:hAnsi="等线" w:cs="宋体"/>
          <w:szCs w:val="32"/>
          <w:lang w:val="en-US"/>
        </w:rPr>
        <w:t>但是项目佐证资料不够充分、完善。</w:t>
      </w:r>
      <w:r>
        <w:rPr>
          <w:rFonts w:hint="eastAsia"/>
          <w:b/>
          <w:bCs/>
          <w:szCs w:val="32"/>
          <w:lang w:val="en-US"/>
        </w:rPr>
        <w:t>受补贴企业知识产权质押融资成本降低情况</w:t>
      </w:r>
      <w:r>
        <w:rPr>
          <w:rFonts w:hint="eastAsia"/>
          <w:b/>
          <w:bCs/>
          <w:szCs w:val="32"/>
          <w:lang w:val="en-US" w:eastAsia="zh-CN"/>
        </w:rPr>
        <w:t>：</w:t>
      </w:r>
      <w:r>
        <w:rPr>
          <w:rFonts w:hint="eastAsia"/>
          <w:szCs w:val="32"/>
        </w:rPr>
        <w:t>2024年专项资金实际对291家企业知识产权质押贷款贴息和综合成本补贴支持，对6家金融机构给予风险补偿支持，相关企业平均可降低知识产权质押融资成本约37.8%。</w:t>
      </w:r>
      <w:r>
        <w:rPr>
          <w:rFonts w:hint="eastAsia"/>
          <w:szCs w:val="32"/>
          <w:lang w:val="en-US"/>
        </w:rPr>
        <w:t>但是</w:t>
      </w:r>
      <w:r>
        <w:rPr>
          <w:rFonts w:hint="eastAsia" w:hAnsi="等线" w:cs="宋体"/>
          <w:szCs w:val="32"/>
          <w:lang w:val="en-US"/>
        </w:rPr>
        <w:t>项目佐证资料不够充分、完善。</w:t>
      </w:r>
    </w:p>
    <w:p>
      <w:pPr>
        <w:pStyle w:val="4"/>
        <w:keepNext w:val="0"/>
        <w:pageBreakBefore w:val="0"/>
        <w:widowControl w:val="0"/>
        <w:kinsoku/>
        <w:wordWrap/>
        <w:overflowPunct/>
        <w:topLinePunct w:val="0"/>
        <w:autoSpaceDE w:val="0"/>
        <w:autoSpaceDN w:val="0"/>
        <w:bidi w:val="0"/>
        <w:adjustRightInd w:val="0"/>
        <w:snapToGrid w:val="0"/>
        <w:ind w:firstLine="643"/>
        <w:textAlignment w:val="auto"/>
        <w:rPr>
          <w:szCs w:val="32"/>
          <w:lang w:val="en-US"/>
        </w:rPr>
      </w:pPr>
      <w:bookmarkStart w:id="139" w:name="_Toc21905"/>
      <w:bookmarkStart w:id="140" w:name="_Toc31980"/>
      <w:bookmarkStart w:id="141" w:name="_Toc26831"/>
      <w:bookmarkStart w:id="142" w:name="_Toc72853517"/>
      <w:r>
        <w:rPr>
          <w:rFonts w:hint="eastAsia"/>
          <w:szCs w:val="32"/>
          <w:lang w:val="en-US"/>
        </w:rPr>
        <w:t>2.满意度情况分析</w:t>
      </w:r>
      <w:bookmarkEnd w:id="139"/>
      <w:bookmarkEnd w:id="140"/>
      <w:bookmarkEnd w:id="141"/>
      <w:bookmarkEnd w:id="142"/>
    </w:p>
    <w:p>
      <w:pPr>
        <w:keepNext w:val="0"/>
        <w:pageBreakBefore w:val="0"/>
        <w:widowControl w:val="0"/>
        <w:kinsoku/>
        <w:wordWrap/>
        <w:overflowPunct/>
        <w:topLinePunct w:val="0"/>
        <w:autoSpaceDE w:val="0"/>
        <w:autoSpaceDN w:val="0"/>
        <w:bidi w:val="0"/>
        <w:adjustRightInd w:val="0"/>
        <w:snapToGrid w:val="0"/>
        <w:ind w:firstLine="640"/>
        <w:jc w:val="both"/>
        <w:textAlignment w:val="auto"/>
        <w:rPr>
          <w:szCs w:val="32"/>
          <w:lang w:val="en-US"/>
        </w:rPr>
      </w:pPr>
      <w:r>
        <w:rPr>
          <w:rFonts w:hint="eastAsia"/>
          <w:szCs w:val="32"/>
          <w:lang w:val="en-US" w:eastAsia="zh-CN"/>
        </w:rPr>
        <w:t>项目单位</w:t>
      </w:r>
      <w:r>
        <w:rPr>
          <w:rFonts w:hint="eastAsia"/>
          <w:szCs w:val="32"/>
          <w:lang w:val="en-US"/>
        </w:rPr>
        <w:t>共发出</w:t>
      </w:r>
      <w:r>
        <w:rPr>
          <w:rFonts w:hint="eastAsia"/>
          <w:szCs w:val="32"/>
          <w:lang w:val="en-US" w:eastAsia="zh-CN"/>
        </w:rPr>
        <w:t>调查</w:t>
      </w:r>
      <w:r>
        <w:rPr>
          <w:rFonts w:hint="eastAsia"/>
          <w:szCs w:val="32"/>
          <w:lang w:val="en-US"/>
        </w:rPr>
        <w:t>问卷185份</w:t>
      </w:r>
      <w:r>
        <w:rPr>
          <w:rFonts w:hint="eastAsia"/>
          <w:szCs w:val="32"/>
          <w:lang w:val="en-US" w:eastAsia="zh-CN"/>
        </w:rPr>
        <w:t>，回收问卷67份，受访的服务对象对本项目整体工作满意度为100%。但问卷回收率较低，满意度调查的工作需进一步完善。</w:t>
      </w:r>
    </w:p>
    <w:p>
      <w:pPr>
        <w:pStyle w:val="2"/>
        <w:keepNext w:val="0"/>
        <w:pageBreakBefore w:val="0"/>
        <w:widowControl w:val="0"/>
        <w:kinsoku/>
        <w:wordWrap/>
        <w:overflowPunct/>
        <w:topLinePunct w:val="0"/>
        <w:autoSpaceDE w:val="0"/>
        <w:autoSpaceDN w:val="0"/>
        <w:bidi w:val="0"/>
        <w:adjustRightInd w:val="0"/>
        <w:snapToGrid w:val="0"/>
        <w:textAlignment w:val="auto"/>
        <w:rPr>
          <w:rFonts w:hint="eastAsia" w:eastAsia="黑体"/>
          <w:highlight w:val="cyan"/>
          <w:lang w:val="en-US" w:eastAsia="zh-CN"/>
        </w:rPr>
      </w:pPr>
      <w:r>
        <w:rPr>
          <w:rFonts w:hint="eastAsia"/>
          <w:lang w:val="en-US"/>
        </w:rPr>
        <w:t>五、主要经验及做法</w:t>
      </w:r>
      <w:bookmarkEnd w:id="135"/>
      <w:bookmarkEnd w:id="136"/>
      <w:bookmarkEnd w:id="137"/>
      <w:bookmarkEnd w:id="138"/>
      <w:r>
        <w:rPr>
          <w:rFonts w:hint="eastAsia"/>
          <w:lang w:val="en-US" w:eastAsia="zh-CN"/>
        </w:rPr>
        <w:t>、</w:t>
      </w:r>
      <w:r>
        <w:rPr>
          <w:rFonts w:hint="eastAsia"/>
          <w:lang w:val="en-US"/>
        </w:rPr>
        <w:t>存在问题</w:t>
      </w:r>
      <w:r>
        <w:rPr>
          <w:rFonts w:hint="eastAsia"/>
          <w:lang w:val="en-US" w:eastAsia="zh-CN"/>
        </w:rPr>
        <w:t>及原因分析</w:t>
      </w:r>
    </w:p>
    <w:p>
      <w:pPr>
        <w:keepNext w:val="0"/>
        <w:pageBreakBefore w:val="0"/>
        <w:widowControl w:val="0"/>
        <w:kinsoku/>
        <w:wordWrap/>
        <w:overflowPunct/>
        <w:topLinePunct w:val="0"/>
        <w:autoSpaceDE w:val="0"/>
        <w:autoSpaceDN w:val="0"/>
        <w:bidi w:val="0"/>
        <w:adjustRightInd w:val="0"/>
        <w:snapToGrid w:val="0"/>
        <w:ind w:firstLine="643"/>
        <w:jc w:val="both"/>
        <w:textAlignment w:val="auto"/>
        <w:rPr>
          <w:rFonts w:hint="eastAsia" w:hAnsi="等线" w:cs="宋体"/>
          <w:b w:val="0"/>
          <w:bCs w:val="0"/>
          <w:szCs w:val="32"/>
          <w:lang w:val="en-US" w:eastAsia="zh-CN"/>
        </w:rPr>
      </w:pPr>
      <w:bookmarkStart w:id="143" w:name="_Toc166578485"/>
      <w:bookmarkStart w:id="144" w:name="_Toc22292"/>
      <w:bookmarkStart w:id="145" w:name="_Toc4654"/>
      <w:bookmarkStart w:id="146" w:name="_Toc72853519"/>
      <w:bookmarkStart w:id="147" w:name="_Toc28585"/>
      <w:r>
        <w:rPr>
          <w:rFonts w:hint="eastAsia"/>
          <w:lang w:val="en-US"/>
        </w:rPr>
        <w:t>主要经验及做法</w:t>
      </w:r>
      <w:r>
        <w:rPr>
          <w:rFonts w:hint="eastAsia"/>
          <w:lang w:val="en-US" w:eastAsia="zh-CN"/>
        </w:rPr>
        <w:t>：</w:t>
      </w:r>
      <w:r>
        <w:rPr>
          <w:rFonts w:hint="eastAsia"/>
          <w:b/>
          <w:kern w:val="2"/>
          <w:szCs w:val="32"/>
          <w:lang w:val="en-US" w:bidi="ar"/>
        </w:rPr>
        <w:t>一是</w:t>
      </w:r>
      <w:bookmarkEnd w:id="143"/>
      <w:r>
        <w:rPr>
          <w:rFonts w:hint="eastAsia"/>
          <w:b w:val="0"/>
          <w:bCs/>
          <w:kern w:val="2"/>
          <w:szCs w:val="32"/>
          <w:lang w:val="en-US" w:bidi="ar"/>
        </w:rPr>
        <w:t>加强顶层设计，全面推进知识产权质押融资服务</w:t>
      </w:r>
      <w:bookmarkStart w:id="148" w:name="_Toc166578486"/>
      <w:r>
        <w:rPr>
          <w:rFonts w:hint="eastAsia"/>
          <w:b w:val="0"/>
          <w:bCs/>
          <w:kern w:val="2"/>
          <w:szCs w:val="32"/>
          <w:lang w:val="en-US" w:eastAsia="zh-CN" w:bidi="ar"/>
        </w:rPr>
        <w:t>；</w:t>
      </w:r>
      <w:r>
        <w:rPr>
          <w:rFonts w:hint="eastAsia" w:hAnsi="等线" w:cs="宋体"/>
          <w:b/>
          <w:bCs/>
          <w:szCs w:val="32"/>
          <w:lang w:val="en-US"/>
        </w:rPr>
        <w:t>二是</w:t>
      </w:r>
      <w:bookmarkEnd w:id="148"/>
      <w:r>
        <w:rPr>
          <w:rFonts w:hint="eastAsia" w:hAnsi="等线" w:cs="宋体"/>
          <w:b w:val="0"/>
          <w:bCs w:val="0"/>
          <w:szCs w:val="32"/>
          <w:lang w:val="en-US"/>
        </w:rPr>
        <w:t>完善协同工作机制，多方联动合力推进知识产权质押融资各项工作</w:t>
      </w:r>
      <w:bookmarkStart w:id="149" w:name="_Toc166578487"/>
      <w:r>
        <w:rPr>
          <w:rFonts w:hint="eastAsia" w:hAnsi="等线" w:cs="宋体"/>
          <w:b w:val="0"/>
          <w:bCs w:val="0"/>
          <w:szCs w:val="32"/>
          <w:lang w:eastAsia="zh-CN"/>
        </w:rPr>
        <w:t>；</w:t>
      </w:r>
      <w:r>
        <w:rPr>
          <w:rFonts w:hint="eastAsia" w:hAnsi="等线" w:cs="宋体"/>
          <w:b/>
          <w:bCs/>
          <w:szCs w:val="32"/>
          <w:lang w:val="en-US"/>
        </w:rPr>
        <w:t>三是</w:t>
      </w:r>
      <w:bookmarkEnd w:id="149"/>
      <w:r>
        <w:rPr>
          <w:rFonts w:hint="eastAsia" w:hAnsi="等线" w:cs="宋体"/>
          <w:b w:val="0"/>
          <w:bCs w:val="0"/>
          <w:szCs w:val="32"/>
        </w:rPr>
        <w:t>加强市区联动，入园惠企拓宽企业融资渠道</w:t>
      </w:r>
      <w:r>
        <w:rPr>
          <w:rFonts w:hint="eastAsia" w:hAnsi="等线" w:cs="宋体"/>
          <w:b w:val="0"/>
          <w:bCs w:val="0"/>
          <w:szCs w:val="32"/>
          <w:lang w:eastAsia="zh-CN"/>
        </w:rPr>
        <w:t>；</w:t>
      </w:r>
      <w:bookmarkStart w:id="150" w:name="_Toc166578488"/>
      <w:r>
        <w:rPr>
          <w:rFonts w:hint="eastAsia" w:hAnsi="等线" w:cs="宋体"/>
          <w:b/>
          <w:bCs/>
          <w:szCs w:val="32"/>
          <w:lang w:val="en-US"/>
        </w:rPr>
        <w:t>四是</w:t>
      </w:r>
      <w:bookmarkEnd w:id="150"/>
      <w:r>
        <w:rPr>
          <w:rFonts w:hint="eastAsia" w:hAnsi="等线" w:cs="宋体"/>
          <w:b w:val="0"/>
          <w:bCs w:val="0"/>
          <w:szCs w:val="32"/>
        </w:rPr>
        <w:t>落实资金支持，降低企业知识产权质押融资成本</w:t>
      </w:r>
      <w:r>
        <w:rPr>
          <w:rFonts w:hint="eastAsia" w:hAnsi="等线" w:cs="宋体"/>
          <w:b w:val="0"/>
          <w:bCs w:val="0"/>
          <w:szCs w:val="32"/>
          <w:lang w:eastAsia="zh-CN"/>
        </w:rPr>
        <w:t>；</w:t>
      </w:r>
      <w:r>
        <w:rPr>
          <w:rFonts w:hint="eastAsia" w:hAnsi="等线" w:cs="宋体"/>
          <w:b/>
          <w:bCs/>
          <w:szCs w:val="32"/>
          <w:lang w:val="en-US" w:eastAsia="zh-CN"/>
        </w:rPr>
        <w:t>五是</w:t>
      </w:r>
      <w:r>
        <w:rPr>
          <w:rFonts w:hint="eastAsia" w:hAnsi="等线" w:cs="宋体"/>
          <w:b w:val="0"/>
          <w:bCs w:val="0"/>
          <w:szCs w:val="32"/>
          <w:lang w:val="en-US" w:eastAsia="zh-CN"/>
        </w:rPr>
        <w:t>加强人才培养，打造北京市知识产权金融人才梯队。</w:t>
      </w:r>
    </w:p>
    <w:bookmarkEnd w:id="144"/>
    <w:bookmarkEnd w:id="145"/>
    <w:bookmarkEnd w:id="146"/>
    <w:bookmarkEnd w:id="147"/>
    <w:p>
      <w:pPr>
        <w:keepNext w:val="0"/>
        <w:pageBreakBefore w:val="0"/>
        <w:widowControl w:val="0"/>
        <w:kinsoku/>
        <w:wordWrap/>
        <w:overflowPunct/>
        <w:topLinePunct w:val="0"/>
        <w:autoSpaceDE w:val="0"/>
        <w:autoSpaceDN w:val="0"/>
        <w:bidi w:val="0"/>
        <w:adjustRightInd w:val="0"/>
        <w:snapToGrid w:val="0"/>
        <w:jc w:val="both"/>
        <w:textAlignment w:val="auto"/>
        <w:rPr>
          <w:rFonts w:hint="default" w:hAnsi="Times New Roman"/>
          <w:b w:val="0"/>
          <w:bCs w:val="0"/>
          <w:sz w:val="32"/>
          <w:szCs w:val="20"/>
          <w:lang w:val="en-US" w:eastAsia="zh-CN"/>
        </w:rPr>
      </w:pPr>
      <w:bookmarkStart w:id="151" w:name="_Toc72853521"/>
      <w:bookmarkStart w:id="152" w:name="_Toc26812"/>
      <w:bookmarkStart w:id="153" w:name="_Toc23953"/>
      <w:bookmarkStart w:id="154" w:name="_Toc25182"/>
      <w:bookmarkStart w:id="155" w:name="_Toc6103"/>
      <w:bookmarkStart w:id="156" w:name="_Toc21386"/>
      <w:bookmarkStart w:id="157" w:name="_Toc72853524"/>
      <w:r>
        <w:rPr>
          <w:rFonts w:hint="eastAsia"/>
          <w:lang w:val="en-US"/>
        </w:rPr>
        <w:t>存在问题</w:t>
      </w:r>
      <w:r>
        <w:rPr>
          <w:rFonts w:hint="eastAsia"/>
          <w:lang w:val="en-US" w:eastAsia="zh-CN"/>
        </w:rPr>
        <w:t>及原因分析：</w:t>
      </w:r>
      <w:r>
        <w:rPr>
          <w:rFonts w:hint="eastAsia" w:hAnsi="Times New Roman"/>
          <w:b/>
          <w:bCs/>
          <w:sz w:val="32"/>
          <w:szCs w:val="20"/>
          <w:lang w:val="en-US" w:eastAsia="zh-CN"/>
        </w:rPr>
        <w:t>一是</w:t>
      </w:r>
      <w:r>
        <w:rPr>
          <w:rFonts w:hint="eastAsia" w:hAnsi="Times New Roman"/>
          <w:b w:val="0"/>
          <w:bCs w:val="0"/>
          <w:sz w:val="32"/>
          <w:szCs w:val="20"/>
          <w:lang w:val="en-US" w:eastAsia="zh-CN"/>
        </w:rPr>
        <w:t>预算编制严谨性有待加强；</w:t>
      </w:r>
      <w:r>
        <w:rPr>
          <w:rFonts w:hint="eastAsia" w:hAnsi="Times New Roman"/>
          <w:b/>
          <w:bCs/>
          <w:sz w:val="32"/>
          <w:szCs w:val="20"/>
          <w:lang w:val="en-US" w:eastAsia="zh-CN"/>
        </w:rPr>
        <w:t>二是</w:t>
      </w:r>
      <w:r>
        <w:rPr>
          <w:rFonts w:hint="eastAsia" w:hAnsi="Times New Roman"/>
          <w:b w:val="0"/>
          <w:bCs w:val="0"/>
          <w:sz w:val="32"/>
          <w:szCs w:val="20"/>
          <w:lang w:val="en-US" w:eastAsia="zh-CN"/>
        </w:rPr>
        <w:t>绩效目标及指标设置有待完善；</w:t>
      </w:r>
      <w:r>
        <w:rPr>
          <w:rFonts w:hint="eastAsia" w:hAnsi="Times New Roman"/>
          <w:b/>
          <w:bCs/>
          <w:sz w:val="32"/>
          <w:szCs w:val="20"/>
          <w:lang w:val="en-US" w:eastAsia="zh-CN"/>
        </w:rPr>
        <w:t>三是</w:t>
      </w:r>
      <w:r>
        <w:rPr>
          <w:rFonts w:hint="eastAsia" w:hAnsi="Times New Roman"/>
          <w:b w:val="0"/>
          <w:bCs w:val="0"/>
          <w:sz w:val="32"/>
          <w:szCs w:val="20"/>
          <w:lang w:val="en-US" w:eastAsia="zh-CN"/>
        </w:rPr>
        <w:t>项目过程管理精细化程度有待提升，</w:t>
      </w:r>
      <w:r>
        <w:rPr>
          <w:rFonts w:hint="eastAsia" w:ascii="方正仿宋_GB2312" w:hAnsi="方正仿宋_GB2312" w:cs="方正仿宋_GB2312"/>
          <w:lang w:val="en-US" w:eastAsia="zh-CN"/>
        </w:rPr>
        <w:t>项目在执行过程中实际支持及触达的企业数量有所增加，但未根据项目实施情况及时调整绩效指标，项目进度安排有待改善</w:t>
      </w:r>
      <w:r>
        <w:rPr>
          <w:rFonts w:hint="eastAsia" w:hAnsi="Times New Roman"/>
          <w:b w:val="0"/>
          <w:bCs w:val="0"/>
          <w:sz w:val="32"/>
          <w:szCs w:val="20"/>
          <w:lang w:val="en-US" w:eastAsia="zh-CN"/>
        </w:rPr>
        <w:t>；</w:t>
      </w:r>
      <w:r>
        <w:rPr>
          <w:rFonts w:hint="eastAsia" w:hAnsi="Times New Roman"/>
          <w:b/>
          <w:bCs/>
          <w:sz w:val="32"/>
          <w:szCs w:val="20"/>
          <w:lang w:val="en-US" w:eastAsia="zh-CN"/>
        </w:rPr>
        <w:t>四是</w:t>
      </w:r>
      <w:r>
        <w:rPr>
          <w:rFonts w:hint="eastAsia" w:hAnsi="Times New Roman"/>
          <w:b w:val="0"/>
          <w:bCs w:val="0"/>
          <w:sz w:val="32"/>
          <w:szCs w:val="20"/>
          <w:lang w:val="en-US" w:eastAsia="zh-CN"/>
        </w:rPr>
        <w:t>项目实施方案及满意度调查有待完善。</w:t>
      </w:r>
    </w:p>
    <w:bookmarkEnd w:id="151"/>
    <w:bookmarkEnd w:id="152"/>
    <w:bookmarkEnd w:id="153"/>
    <w:p>
      <w:pPr>
        <w:pStyle w:val="2"/>
        <w:keepNext w:val="0"/>
        <w:pageBreakBefore w:val="0"/>
        <w:widowControl w:val="0"/>
        <w:kinsoku/>
        <w:wordWrap/>
        <w:overflowPunct/>
        <w:topLinePunct w:val="0"/>
        <w:autoSpaceDE w:val="0"/>
        <w:autoSpaceDN w:val="0"/>
        <w:bidi w:val="0"/>
        <w:adjustRightInd w:val="0"/>
        <w:snapToGrid w:val="0"/>
        <w:ind w:firstLine="640"/>
        <w:textAlignment w:val="auto"/>
        <w:rPr>
          <w:rFonts w:eastAsia="仿宋_GB2312"/>
          <w:lang w:val="en-US"/>
        </w:rPr>
      </w:pPr>
      <w:r>
        <w:rPr>
          <w:rFonts w:hint="eastAsia"/>
          <w:lang w:val="en-US" w:eastAsia="zh-CN"/>
        </w:rPr>
        <w:t>六</w:t>
      </w:r>
      <w:r>
        <w:rPr>
          <w:rFonts w:hint="eastAsia"/>
          <w:lang w:val="en-US"/>
        </w:rPr>
        <w:t>、</w:t>
      </w:r>
      <w:r>
        <w:rPr>
          <w:rFonts w:hint="eastAsia"/>
          <w:lang w:val="en-US" w:eastAsia="zh-CN"/>
        </w:rPr>
        <w:t>有关</w:t>
      </w:r>
      <w:r>
        <w:rPr>
          <w:rFonts w:hint="eastAsia"/>
          <w:lang w:val="en-US"/>
        </w:rPr>
        <w:t>建议</w:t>
      </w:r>
      <w:bookmarkEnd w:id="154"/>
      <w:bookmarkEnd w:id="155"/>
      <w:bookmarkEnd w:id="156"/>
      <w:bookmarkEnd w:id="157"/>
    </w:p>
    <w:p>
      <w:pPr>
        <w:pStyle w:val="3"/>
        <w:keepNext w:val="0"/>
        <w:keepLines w:val="0"/>
        <w:pageBreakBefore w:val="0"/>
        <w:widowControl w:val="0"/>
        <w:kinsoku/>
        <w:wordWrap/>
        <w:overflowPunct/>
        <w:topLinePunct w:val="0"/>
        <w:autoSpaceDE w:val="0"/>
        <w:autoSpaceDN w:val="0"/>
        <w:bidi w:val="0"/>
        <w:adjustRightInd w:val="0"/>
        <w:snapToGrid w:val="0"/>
        <w:textAlignment w:val="auto"/>
        <w:rPr>
          <w:rFonts w:hint="default" w:eastAsia="仿宋_GB2312"/>
          <w:b w:val="0"/>
          <w:bCs w:val="0"/>
          <w:szCs w:val="32"/>
          <w:lang w:val="en-US" w:eastAsia="zh-CN"/>
        </w:rPr>
      </w:pPr>
      <w:bookmarkStart w:id="158" w:name="_Toc13843"/>
      <w:bookmarkStart w:id="159" w:name="_Toc276"/>
      <w:bookmarkStart w:id="160" w:name="_Toc27400"/>
      <w:bookmarkStart w:id="161" w:name="_Toc1889"/>
      <w:bookmarkStart w:id="162" w:name="_Toc72853525"/>
      <w:bookmarkStart w:id="163" w:name="_Toc15860"/>
      <w:bookmarkStart w:id="164" w:name="_Toc72853527"/>
      <w:bookmarkStart w:id="165" w:name="_Toc72853529"/>
      <w:bookmarkStart w:id="166" w:name="_Toc72853531"/>
      <w:bookmarkStart w:id="167" w:name="_Toc1487"/>
      <w:bookmarkStart w:id="168" w:name="_Toc19645"/>
      <w:bookmarkStart w:id="169" w:name="_Toc24799"/>
      <w:r>
        <w:rPr>
          <w:rFonts w:hint="eastAsia" w:ascii="仿宋_GB2312" w:hAnsi="仿宋_GB2312" w:eastAsia="仿宋_GB2312" w:cs="仿宋_GB2312"/>
          <w:b/>
          <w:bCs/>
          <w:sz w:val="32"/>
          <w:szCs w:val="32"/>
          <w:lang w:val="en-US" w:eastAsia="zh-CN" w:bidi="zh-CN"/>
        </w:rPr>
        <w:t>1.提高预算编制的严谨性</w:t>
      </w:r>
      <w:bookmarkEnd w:id="158"/>
      <w:bookmarkEnd w:id="159"/>
      <w:r>
        <w:rPr>
          <w:rFonts w:hint="eastAsia" w:ascii="仿宋_GB2312" w:hAnsi="仿宋_GB2312" w:eastAsia="仿宋_GB2312" w:cs="仿宋_GB2312"/>
          <w:b/>
          <w:bCs/>
          <w:sz w:val="32"/>
          <w:szCs w:val="32"/>
          <w:lang w:val="en-US" w:eastAsia="zh-CN" w:bidi="zh-CN"/>
        </w:rPr>
        <w:t>。</w:t>
      </w:r>
      <w:r>
        <w:rPr>
          <w:rFonts w:hint="eastAsia" w:ascii="仿宋_GB2312" w:hAnsi="仿宋_GB2312" w:eastAsia="仿宋_GB2312" w:cs="仿宋_GB2312"/>
          <w:b w:val="0"/>
          <w:bCs w:val="0"/>
          <w:sz w:val="32"/>
          <w:szCs w:val="32"/>
          <w:lang w:val="en-US" w:eastAsia="zh-CN" w:bidi="zh-CN"/>
        </w:rPr>
        <w:t>建议项目单位进一步做好需求研究工作。加强对知识产权质押融资相关基础数据的收集与整理，并在此基础上进行研究分析，进一步扩大资金池，做好资金池的管理。同时，严格按照专项资金使用管理办法编制预算，做好风险敞口设计，加强风险管理。</w:t>
      </w:r>
    </w:p>
    <w:p>
      <w:pPr>
        <w:pStyle w:val="3"/>
        <w:keepNext w:val="0"/>
        <w:keepLines w:val="0"/>
        <w:pageBreakBefore w:val="0"/>
        <w:widowControl w:val="0"/>
        <w:kinsoku/>
        <w:wordWrap/>
        <w:overflowPunct/>
        <w:topLinePunct w:val="0"/>
        <w:autoSpaceDE w:val="0"/>
        <w:autoSpaceDN w:val="0"/>
        <w:bidi w:val="0"/>
        <w:adjustRightInd w:val="0"/>
        <w:snapToGrid w:val="0"/>
        <w:textAlignment w:val="auto"/>
        <w:rPr>
          <w:rFonts w:hint="eastAsia"/>
          <w:b w:val="0"/>
          <w:bCs w:val="0"/>
          <w:szCs w:val="32"/>
          <w:lang w:val="en-US" w:eastAsia="zh-CN"/>
        </w:rPr>
      </w:pPr>
      <w:bookmarkStart w:id="170" w:name="_Toc10175"/>
      <w:r>
        <w:rPr>
          <w:rFonts w:hint="eastAsia" w:ascii="仿宋_GB2312" w:hAnsi="仿宋_GB2312" w:eastAsia="仿宋_GB2312" w:cs="仿宋_GB2312"/>
          <w:b/>
          <w:bCs/>
          <w:sz w:val="32"/>
          <w:szCs w:val="32"/>
          <w:lang w:val="en-US" w:eastAsia="zh-CN" w:bidi="zh-CN"/>
        </w:rPr>
        <w:t>2.完善绩效目标及指标设置</w:t>
      </w:r>
      <w:bookmarkEnd w:id="170"/>
      <w:r>
        <w:rPr>
          <w:rFonts w:hint="eastAsia" w:ascii="仿宋_GB2312" w:hAnsi="仿宋_GB2312" w:eastAsia="仿宋_GB2312" w:cs="仿宋_GB2312"/>
          <w:b/>
          <w:bCs/>
          <w:sz w:val="32"/>
          <w:szCs w:val="32"/>
          <w:lang w:val="en-US" w:eastAsia="zh-CN" w:bidi="zh-CN"/>
        </w:rPr>
        <w:t>。</w:t>
      </w:r>
      <w:r>
        <w:rPr>
          <w:rFonts w:hint="eastAsia" w:ascii="仿宋_GB2312" w:hAnsi="仿宋_GB2312" w:eastAsia="仿宋_GB2312" w:cs="仿宋_GB2312"/>
          <w:b w:val="0"/>
          <w:bCs w:val="0"/>
          <w:sz w:val="32"/>
          <w:szCs w:val="32"/>
          <w:lang w:val="en-US" w:eastAsia="zh-CN" w:bidi="zh-CN"/>
        </w:rPr>
        <w:t>建议项目单位进一步增强绩效管理意识。加强对该项目绩效评价目标及指标的研究，并严格按照预算内容分类设置相关绩效指标，做好绩效指标与预算内容的衔接。同时，从“质效”角度出发，针对各项子工作设置相应的质量指标，提高项目资金使用效率。</w:t>
      </w:r>
    </w:p>
    <w:p>
      <w:pPr>
        <w:pStyle w:val="3"/>
        <w:keepNext w:val="0"/>
        <w:keepLines w:val="0"/>
        <w:pageBreakBefore w:val="0"/>
        <w:widowControl w:val="0"/>
        <w:kinsoku/>
        <w:wordWrap/>
        <w:overflowPunct/>
        <w:topLinePunct w:val="0"/>
        <w:autoSpaceDE w:val="0"/>
        <w:autoSpaceDN w:val="0"/>
        <w:bidi w:val="0"/>
        <w:adjustRightInd w:val="0"/>
        <w:snapToGrid w:val="0"/>
        <w:textAlignment w:val="auto"/>
        <w:rPr>
          <w:rFonts w:hint="eastAsia" w:ascii="仿宋_GB2312" w:hAnsi="仿宋_GB2312" w:eastAsia="仿宋_GB2312" w:cs="仿宋_GB2312"/>
          <w:b w:val="0"/>
          <w:bCs w:val="0"/>
          <w:sz w:val="32"/>
          <w:szCs w:val="32"/>
          <w:lang w:val="en-US" w:eastAsia="zh-CN" w:bidi="zh-CN"/>
        </w:rPr>
      </w:pPr>
      <w:bookmarkStart w:id="171" w:name="_Toc32019"/>
      <w:bookmarkStart w:id="172" w:name="_Toc9309"/>
      <w:r>
        <w:rPr>
          <w:rFonts w:hint="eastAsia" w:ascii="仿宋_GB2312" w:hAnsi="仿宋_GB2312" w:eastAsia="仿宋_GB2312" w:cs="仿宋_GB2312"/>
          <w:b/>
          <w:bCs/>
          <w:sz w:val="32"/>
          <w:szCs w:val="32"/>
          <w:lang w:val="en-US" w:eastAsia="zh-CN" w:bidi="zh-CN"/>
        </w:rPr>
        <w:t>3.加强绩效过程精细化管理</w:t>
      </w:r>
      <w:bookmarkEnd w:id="171"/>
      <w:bookmarkEnd w:id="172"/>
      <w:r>
        <w:rPr>
          <w:rFonts w:hint="eastAsia" w:ascii="仿宋_GB2312" w:hAnsi="仿宋_GB2312" w:eastAsia="仿宋_GB2312" w:cs="仿宋_GB2312"/>
          <w:b/>
          <w:bCs/>
          <w:sz w:val="32"/>
          <w:szCs w:val="32"/>
          <w:lang w:val="en-US" w:eastAsia="zh-CN" w:bidi="zh-CN"/>
        </w:rPr>
        <w:t>。</w:t>
      </w:r>
      <w:r>
        <w:rPr>
          <w:rFonts w:hint="eastAsia" w:ascii="仿宋_GB2312" w:hAnsi="仿宋_GB2312" w:eastAsia="仿宋_GB2312" w:cs="仿宋_GB2312"/>
          <w:b w:val="0"/>
          <w:bCs w:val="0"/>
          <w:sz w:val="32"/>
          <w:szCs w:val="32"/>
          <w:lang w:val="en-US" w:eastAsia="zh-CN" w:bidi="zh-CN"/>
        </w:rPr>
        <w:t>建议项目单位建立项目动态监管意识，全周期评估项目的执行情况，根据项目实施情况及时调整项目绩效指标。此外，建议项目单位在项目的整体实施过程中，合理利用中期绩效监控的评价结果，及时反馈项目预算执行和过程管理情况，并根据实际情况调整项目进度，确保项目按计划开展。</w:t>
      </w:r>
    </w:p>
    <w:p>
      <w:pPr>
        <w:pStyle w:val="3"/>
        <w:keepNext w:val="0"/>
        <w:keepLines w:val="0"/>
        <w:pageBreakBefore w:val="0"/>
        <w:widowControl w:val="0"/>
        <w:kinsoku/>
        <w:wordWrap/>
        <w:overflowPunct/>
        <w:topLinePunct w:val="0"/>
        <w:autoSpaceDE w:val="0"/>
        <w:autoSpaceDN w:val="0"/>
        <w:bidi w:val="0"/>
        <w:adjustRightInd w:val="0"/>
        <w:snapToGrid w:val="0"/>
        <w:textAlignment w:val="auto"/>
        <w:rPr>
          <w:lang w:val="en-US"/>
        </w:rPr>
      </w:pPr>
      <w:bookmarkStart w:id="173" w:name="_Toc32304"/>
      <w:bookmarkStart w:id="174" w:name="_Toc23421"/>
      <w:r>
        <w:rPr>
          <w:rFonts w:hint="eastAsia" w:ascii="仿宋_GB2312" w:hAnsi="仿宋_GB2312" w:eastAsia="仿宋_GB2312" w:cs="仿宋_GB2312"/>
          <w:b/>
          <w:bCs/>
          <w:sz w:val="32"/>
          <w:szCs w:val="32"/>
          <w:lang w:val="en-US" w:eastAsia="zh-CN" w:bidi="zh-CN"/>
        </w:rPr>
        <w:t>4.优化项目</w:t>
      </w:r>
      <w:bookmarkEnd w:id="160"/>
      <w:bookmarkEnd w:id="161"/>
      <w:bookmarkEnd w:id="162"/>
      <w:bookmarkEnd w:id="173"/>
      <w:r>
        <w:rPr>
          <w:rFonts w:hint="eastAsia" w:ascii="仿宋_GB2312" w:hAnsi="仿宋_GB2312" w:eastAsia="仿宋_GB2312" w:cs="仿宋_GB2312"/>
          <w:b/>
          <w:bCs/>
          <w:sz w:val="32"/>
          <w:szCs w:val="32"/>
          <w:lang w:val="en-US" w:eastAsia="zh-CN" w:bidi="zh-CN"/>
        </w:rPr>
        <w:t>实施方案及满意度调查</w:t>
      </w:r>
      <w:bookmarkEnd w:id="174"/>
      <w:r>
        <w:rPr>
          <w:rFonts w:hint="eastAsia" w:ascii="仿宋_GB2312" w:hAnsi="仿宋_GB2312" w:eastAsia="仿宋_GB2312" w:cs="仿宋_GB2312"/>
          <w:b/>
          <w:bCs/>
          <w:sz w:val="32"/>
          <w:szCs w:val="32"/>
          <w:lang w:val="en-US" w:eastAsia="zh-CN" w:bidi="zh-CN"/>
        </w:rPr>
        <w:t>。</w:t>
      </w:r>
      <w:r>
        <w:rPr>
          <w:rFonts w:hint="eastAsia" w:ascii="仿宋_GB2312" w:hAnsi="仿宋_GB2312" w:eastAsia="仿宋_GB2312" w:cs="仿宋_GB2312"/>
          <w:b w:val="0"/>
          <w:bCs w:val="0"/>
          <w:sz w:val="32"/>
          <w:szCs w:val="32"/>
          <w:lang w:val="en-US" w:eastAsia="zh-CN" w:bidi="zh-CN"/>
        </w:rPr>
        <w:t>建议项目单位根据项目特点，结合项目实施过程中发现的问题，进一步优化完善项目实施方案，增加风险管理相关内容，明确项目实施保障措施，以应对项目在实施过程中可能出现的风险等问题。此外，建议项目单位优化满意度调查，加强满意度问卷调查设计，提高调查问卷的回收率。</w:t>
      </w:r>
      <w:bookmarkEnd w:id="163"/>
      <w:bookmarkEnd w:id="164"/>
      <w:bookmarkEnd w:id="165"/>
    </w:p>
    <w:p>
      <w:pPr>
        <w:pStyle w:val="2"/>
        <w:keepNext w:val="0"/>
        <w:pageBreakBefore w:val="0"/>
        <w:widowControl w:val="0"/>
        <w:kinsoku/>
        <w:wordWrap/>
        <w:overflowPunct/>
        <w:topLinePunct w:val="0"/>
        <w:autoSpaceDE w:val="0"/>
        <w:autoSpaceDN w:val="0"/>
        <w:bidi w:val="0"/>
        <w:adjustRightInd w:val="0"/>
        <w:snapToGrid w:val="0"/>
        <w:textAlignment w:val="auto"/>
        <w:rPr>
          <w:rFonts w:hint="eastAsia"/>
          <w:lang w:val="en-US"/>
        </w:rPr>
      </w:pPr>
      <w:r>
        <w:rPr>
          <w:rFonts w:hint="eastAsia"/>
          <w:lang w:val="en-US"/>
        </w:rPr>
        <w:t>八、其他需要说明的问题</w:t>
      </w:r>
      <w:bookmarkEnd w:id="166"/>
      <w:bookmarkEnd w:id="167"/>
      <w:bookmarkEnd w:id="168"/>
      <w:bookmarkEnd w:id="169"/>
    </w:p>
    <w:p>
      <w:pPr>
        <w:pStyle w:val="2"/>
        <w:keepNext w:val="0"/>
        <w:pageBreakBefore w:val="0"/>
        <w:widowControl w:val="0"/>
        <w:kinsoku/>
        <w:wordWrap/>
        <w:overflowPunct/>
        <w:topLinePunct w:val="0"/>
        <w:autoSpaceDE w:val="0"/>
        <w:autoSpaceDN w:val="0"/>
        <w:bidi w:val="0"/>
        <w:adjustRightInd w:val="0"/>
        <w:snapToGrid w:val="0"/>
        <w:textAlignment w:val="auto"/>
        <w:rPr>
          <w:rFonts w:hint="eastAsia" w:ascii="仿宋_GB2312" w:hAnsi="仿宋_GB2312" w:eastAsia="仿宋_GB2312" w:cs="仿宋_GB2312"/>
          <w:b w:val="0"/>
          <w:bCs w:val="0"/>
          <w:kern w:val="0"/>
          <w:sz w:val="32"/>
          <w:szCs w:val="32"/>
          <w:lang w:val="en-US" w:eastAsia="zh-CN" w:bidi="zh-CN"/>
        </w:rPr>
      </w:pPr>
      <w:r>
        <w:rPr>
          <w:rFonts w:hint="eastAsia" w:ascii="仿宋_GB2312" w:hAnsi="仿宋_GB2312" w:eastAsia="仿宋_GB2312" w:cs="仿宋_GB2312"/>
          <w:b w:val="0"/>
          <w:bCs w:val="0"/>
          <w:kern w:val="0"/>
          <w:sz w:val="32"/>
          <w:szCs w:val="32"/>
          <w:lang w:val="en-US" w:eastAsia="zh-CN" w:bidi="zh-CN"/>
        </w:rPr>
        <w:t>无</w:t>
      </w:r>
    </w:p>
    <w:p>
      <w:pPr>
        <w:keepNext w:val="0"/>
        <w:pageBreakBefore w:val="0"/>
        <w:widowControl w:val="0"/>
        <w:kinsoku/>
        <w:wordWrap/>
        <w:overflowPunct/>
        <w:topLinePunct w:val="0"/>
        <w:autoSpaceDE w:val="0"/>
        <w:autoSpaceDN w:val="0"/>
        <w:bidi w:val="0"/>
        <w:adjustRightInd w:val="0"/>
        <w:snapToGrid w:val="0"/>
        <w:ind w:left="0" w:leftChars="0" w:firstLine="0" w:firstLineChars="0"/>
        <w:jc w:val="both"/>
        <w:textAlignment w:val="auto"/>
        <w:rPr>
          <w:rFonts w:hint="eastAsia"/>
          <w:lang w:val="en-US"/>
        </w:rPr>
      </w:pPr>
    </w:p>
    <w:sectPr>
      <w:headerReference r:id="rId5" w:type="default"/>
      <w:footerReference r:id="rId6" w:type="default"/>
      <w:pgSz w:w="11906" w:h="16838"/>
      <w:pgMar w:top="1440" w:right="1179" w:bottom="1440" w:left="1800" w:header="851" w:footer="624" w:gutter="0"/>
      <w:pgBorders>
        <w:top w:val="none" w:sz="0" w:space="0"/>
        <w:left w:val="none" w:sz="0" w:space="0"/>
        <w:bottom w:val="none" w:sz="0" w:space="0"/>
        <w:right w:val="none" w:sz="0" w:space="0"/>
      </w:pgBorders>
      <w:cols w:space="425" w:num="1"/>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1"/>
    <w:family w:val="auto"/>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501650" cy="36195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501650" cy="3619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top:0pt;height:28.5pt;width:39.5pt;mso-position-horizontal:center;mso-position-horizontal-relative:margin;z-index:251661312;mso-width-relative:page;mso-height-relative:page;" filled="f" stroked="f" coordsize="21600,21600" o:gfxdata="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WAAAAZHJzL1BLAQIUABQAAAAIAIdO&#10;4kBnstjL0gAAAAMBAAAPAAAAAAAAAAEAIAAAADgAAABkcnMvZG93bnJldi54bWxQSwECFAAUAAAA&#10;CACHTuJAyZ3nPhcCAAAbBAAADgAAAAAAAAABACAAAAA3AQAAZHJzL2Uyb0RvYy54bWxQSwUGAAAA&#10;AAYABgBZAQAAwAUAAAAA&#10;">
              <v:fill on="f" focussize="0,0"/>
              <v:stroke on="f" weight="0.5pt"/>
              <v:imagedata o:title=""/>
              <o:lock v:ext="edit" aspectratio="f"/>
              <v:textbox inset="0mm,0mm,0mm,0mm">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sdt>
      <w:sdtPr>
        <w:id w:val="-617522391"/>
      </w:sdtP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0"/>
  <w:drawingGridHorizontalSpacing w:val="160"/>
  <w:drawingGridVerticalSpacing w:val="435"/>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172A27"/>
    <w:rsid w:val="00004C8A"/>
    <w:rsid w:val="0001570F"/>
    <w:rsid w:val="00025315"/>
    <w:rsid w:val="000253BC"/>
    <w:rsid w:val="0002553D"/>
    <w:rsid w:val="000264F5"/>
    <w:rsid w:val="0003068C"/>
    <w:rsid w:val="00034F11"/>
    <w:rsid w:val="000366A8"/>
    <w:rsid w:val="000463AF"/>
    <w:rsid w:val="00050609"/>
    <w:rsid w:val="00064DAB"/>
    <w:rsid w:val="0007117C"/>
    <w:rsid w:val="000727F7"/>
    <w:rsid w:val="00080C96"/>
    <w:rsid w:val="00096071"/>
    <w:rsid w:val="000A0FD4"/>
    <w:rsid w:val="000A1C2F"/>
    <w:rsid w:val="000A2C4C"/>
    <w:rsid w:val="000B3FE3"/>
    <w:rsid w:val="000B5FE3"/>
    <w:rsid w:val="000D0F0B"/>
    <w:rsid w:val="000D322A"/>
    <w:rsid w:val="000D332F"/>
    <w:rsid w:val="000E0349"/>
    <w:rsid w:val="000E17B9"/>
    <w:rsid w:val="000E3153"/>
    <w:rsid w:val="000E6B89"/>
    <w:rsid w:val="000F05CC"/>
    <w:rsid w:val="00106F7A"/>
    <w:rsid w:val="00112999"/>
    <w:rsid w:val="00112C96"/>
    <w:rsid w:val="001174E7"/>
    <w:rsid w:val="00120096"/>
    <w:rsid w:val="00121813"/>
    <w:rsid w:val="0012250C"/>
    <w:rsid w:val="00126108"/>
    <w:rsid w:val="00126750"/>
    <w:rsid w:val="001322BE"/>
    <w:rsid w:val="0014443E"/>
    <w:rsid w:val="00151359"/>
    <w:rsid w:val="0015437F"/>
    <w:rsid w:val="00156605"/>
    <w:rsid w:val="00156664"/>
    <w:rsid w:val="00165508"/>
    <w:rsid w:val="00167127"/>
    <w:rsid w:val="00172532"/>
    <w:rsid w:val="00172A27"/>
    <w:rsid w:val="001761E2"/>
    <w:rsid w:val="00177EFD"/>
    <w:rsid w:val="00182B26"/>
    <w:rsid w:val="0019229E"/>
    <w:rsid w:val="001A4CBA"/>
    <w:rsid w:val="001B3C6C"/>
    <w:rsid w:val="001B3DD5"/>
    <w:rsid w:val="001B57D1"/>
    <w:rsid w:val="001B613B"/>
    <w:rsid w:val="001C0CC3"/>
    <w:rsid w:val="001D1B5A"/>
    <w:rsid w:val="001D627B"/>
    <w:rsid w:val="001D6551"/>
    <w:rsid w:val="001E1A29"/>
    <w:rsid w:val="001E3C82"/>
    <w:rsid w:val="001E475A"/>
    <w:rsid w:val="001E554F"/>
    <w:rsid w:val="001E6492"/>
    <w:rsid w:val="001F5E2D"/>
    <w:rsid w:val="00200260"/>
    <w:rsid w:val="002103BB"/>
    <w:rsid w:val="00211C9A"/>
    <w:rsid w:val="00212B96"/>
    <w:rsid w:val="002139E2"/>
    <w:rsid w:val="002228B9"/>
    <w:rsid w:val="002259F5"/>
    <w:rsid w:val="002275D8"/>
    <w:rsid w:val="00232778"/>
    <w:rsid w:val="002335B2"/>
    <w:rsid w:val="00235719"/>
    <w:rsid w:val="00244DA2"/>
    <w:rsid w:val="002469C8"/>
    <w:rsid w:val="00246CBA"/>
    <w:rsid w:val="00250BBE"/>
    <w:rsid w:val="00251F3F"/>
    <w:rsid w:val="002550AB"/>
    <w:rsid w:val="00260098"/>
    <w:rsid w:val="002661F6"/>
    <w:rsid w:val="00270053"/>
    <w:rsid w:val="002759DA"/>
    <w:rsid w:val="00282167"/>
    <w:rsid w:val="00287602"/>
    <w:rsid w:val="00287CD6"/>
    <w:rsid w:val="00296ADA"/>
    <w:rsid w:val="002971DC"/>
    <w:rsid w:val="002A05C0"/>
    <w:rsid w:val="002A2647"/>
    <w:rsid w:val="002B0C10"/>
    <w:rsid w:val="002C1AEF"/>
    <w:rsid w:val="002C7C49"/>
    <w:rsid w:val="002D08D2"/>
    <w:rsid w:val="002D0A11"/>
    <w:rsid w:val="002D7DA2"/>
    <w:rsid w:val="002E2654"/>
    <w:rsid w:val="002E74FF"/>
    <w:rsid w:val="002F5088"/>
    <w:rsid w:val="002F5B4C"/>
    <w:rsid w:val="00310B50"/>
    <w:rsid w:val="00317EEB"/>
    <w:rsid w:val="003251B4"/>
    <w:rsid w:val="00326C8B"/>
    <w:rsid w:val="00332F14"/>
    <w:rsid w:val="0033463D"/>
    <w:rsid w:val="00336435"/>
    <w:rsid w:val="00352409"/>
    <w:rsid w:val="003531FB"/>
    <w:rsid w:val="00354693"/>
    <w:rsid w:val="00355504"/>
    <w:rsid w:val="00355E6C"/>
    <w:rsid w:val="00364B36"/>
    <w:rsid w:val="00375CD3"/>
    <w:rsid w:val="0037699D"/>
    <w:rsid w:val="00386225"/>
    <w:rsid w:val="00397F5A"/>
    <w:rsid w:val="003A05AA"/>
    <w:rsid w:val="003A0E29"/>
    <w:rsid w:val="003A3A84"/>
    <w:rsid w:val="003C4CF2"/>
    <w:rsid w:val="003D23BA"/>
    <w:rsid w:val="003D5A29"/>
    <w:rsid w:val="003E39F9"/>
    <w:rsid w:val="003F58D5"/>
    <w:rsid w:val="003F60C6"/>
    <w:rsid w:val="004056ED"/>
    <w:rsid w:val="004104F4"/>
    <w:rsid w:val="00421826"/>
    <w:rsid w:val="004509C9"/>
    <w:rsid w:val="00451427"/>
    <w:rsid w:val="00456EA8"/>
    <w:rsid w:val="004603AB"/>
    <w:rsid w:val="004618C6"/>
    <w:rsid w:val="00463F48"/>
    <w:rsid w:val="00464B77"/>
    <w:rsid w:val="00466B10"/>
    <w:rsid w:val="00470F96"/>
    <w:rsid w:val="004738B2"/>
    <w:rsid w:val="00476428"/>
    <w:rsid w:val="00480A43"/>
    <w:rsid w:val="00480A91"/>
    <w:rsid w:val="00480B71"/>
    <w:rsid w:val="00487372"/>
    <w:rsid w:val="004921FA"/>
    <w:rsid w:val="004975A1"/>
    <w:rsid w:val="004B3ECB"/>
    <w:rsid w:val="004D3576"/>
    <w:rsid w:val="004D665B"/>
    <w:rsid w:val="004E10BD"/>
    <w:rsid w:val="004E4227"/>
    <w:rsid w:val="004E4E3B"/>
    <w:rsid w:val="004E5ABA"/>
    <w:rsid w:val="004F244F"/>
    <w:rsid w:val="005105B2"/>
    <w:rsid w:val="005347E4"/>
    <w:rsid w:val="00537625"/>
    <w:rsid w:val="00542498"/>
    <w:rsid w:val="005430C9"/>
    <w:rsid w:val="005443AD"/>
    <w:rsid w:val="00551A83"/>
    <w:rsid w:val="00552F22"/>
    <w:rsid w:val="00562B9F"/>
    <w:rsid w:val="00567E61"/>
    <w:rsid w:val="00570FF3"/>
    <w:rsid w:val="00577552"/>
    <w:rsid w:val="00586CC8"/>
    <w:rsid w:val="00587105"/>
    <w:rsid w:val="00587A9D"/>
    <w:rsid w:val="00592DE1"/>
    <w:rsid w:val="00596503"/>
    <w:rsid w:val="00596564"/>
    <w:rsid w:val="005A02DD"/>
    <w:rsid w:val="005A1B16"/>
    <w:rsid w:val="005A6652"/>
    <w:rsid w:val="005A7E7C"/>
    <w:rsid w:val="005B6409"/>
    <w:rsid w:val="005C0AB1"/>
    <w:rsid w:val="005C4558"/>
    <w:rsid w:val="005C6EFC"/>
    <w:rsid w:val="005C7D9E"/>
    <w:rsid w:val="005D0A0A"/>
    <w:rsid w:val="005D6864"/>
    <w:rsid w:val="005E0548"/>
    <w:rsid w:val="005E1183"/>
    <w:rsid w:val="005E2DE0"/>
    <w:rsid w:val="006050E9"/>
    <w:rsid w:val="0061250C"/>
    <w:rsid w:val="00613144"/>
    <w:rsid w:val="0062473E"/>
    <w:rsid w:val="00625C2A"/>
    <w:rsid w:val="00627210"/>
    <w:rsid w:val="00632281"/>
    <w:rsid w:val="00637AA3"/>
    <w:rsid w:val="0065216E"/>
    <w:rsid w:val="006551E2"/>
    <w:rsid w:val="00657A05"/>
    <w:rsid w:val="00665AD1"/>
    <w:rsid w:val="00671194"/>
    <w:rsid w:val="00674242"/>
    <w:rsid w:val="00677AF6"/>
    <w:rsid w:val="00681459"/>
    <w:rsid w:val="00681702"/>
    <w:rsid w:val="00683C13"/>
    <w:rsid w:val="00684FAC"/>
    <w:rsid w:val="00687B13"/>
    <w:rsid w:val="006912E8"/>
    <w:rsid w:val="00692060"/>
    <w:rsid w:val="00696353"/>
    <w:rsid w:val="00697A91"/>
    <w:rsid w:val="006A00E7"/>
    <w:rsid w:val="006A2475"/>
    <w:rsid w:val="006B3BBC"/>
    <w:rsid w:val="006C31F5"/>
    <w:rsid w:val="006D000B"/>
    <w:rsid w:val="006E3763"/>
    <w:rsid w:val="006E685A"/>
    <w:rsid w:val="006F769A"/>
    <w:rsid w:val="007021CD"/>
    <w:rsid w:val="00711953"/>
    <w:rsid w:val="007139A3"/>
    <w:rsid w:val="00721511"/>
    <w:rsid w:val="007242E0"/>
    <w:rsid w:val="007261B0"/>
    <w:rsid w:val="0073582A"/>
    <w:rsid w:val="007448CF"/>
    <w:rsid w:val="007609EF"/>
    <w:rsid w:val="00773AD2"/>
    <w:rsid w:val="0078342E"/>
    <w:rsid w:val="00795E1E"/>
    <w:rsid w:val="007A0038"/>
    <w:rsid w:val="007B3F51"/>
    <w:rsid w:val="007D47CA"/>
    <w:rsid w:val="007E7D16"/>
    <w:rsid w:val="007F0497"/>
    <w:rsid w:val="007F0731"/>
    <w:rsid w:val="007F0F5B"/>
    <w:rsid w:val="007F1790"/>
    <w:rsid w:val="007F2B7E"/>
    <w:rsid w:val="007F3200"/>
    <w:rsid w:val="007F5237"/>
    <w:rsid w:val="00800D78"/>
    <w:rsid w:val="00802113"/>
    <w:rsid w:val="00807882"/>
    <w:rsid w:val="008124C2"/>
    <w:rsid w:val="00812F97"/>
    <w:rsid w:val="008252EF"/>
    <w:rsid w:val="008303F5"/>
    <w:rsid w:val="00835065"/>
    <w:rsid w:val="00846EF8"/>
    <w:rsid w:val="00851710"/>
    <w:rsid w:val="008612CB"/>
    <w:rsid w:val="00861CDA"/>
    <w:rsid w:val="0086399E"/>
    <w:rsid w:val="0087103F"/>
    <w:rsid w:val="00872099"/>
    <w:rsid w:val="008836D2"/>
    <w:rsid w:val="00885BED"/>
    <w:rsid w:val="008937AF"/>
    <w:rsid w:val="0089766F"/>
    <w:rsid w:val="008B1B36"/>
    <w:rsid w:val="008B4381"/>
    <w:rsid w:val="008C2605"/>
    <w:rsid w:val="008C2D8A"/>
    <w:rsid w:val="008D0AF4"/>
    <w:rsid w:val="008D2CD6"/>
    <w:rsid w:val="008E2A78"/>
    <w:rsid w:val="008F69DC"/>
    <w:rsid w:val="00902FFC"/>
    <w:rsid w:val="00903290"/>
    <w:rsid w:val="00927484"/>
    <w:rsid w:val="00941470"/>
    <w:rsid w:val="00943B21"/>
    <w:rsid w:val="00961E07"/>
    <w:rsid w:val="0096661E"/>
    <w:rsid w:val="00974298"/>
    <w:rsid w:val="009824BA"/>
    <w:rsid w:val="009824CD"/>
    <w:rsid w:val="0099042C"/>
    <w:rsid w:val="009D432E"/>
    <w:rsid w:val="009D69A7"/>
    <w:rsid w:val="009E2CAF"/>
    <w:rsid w:val="00A13236"/>
    <w:rsid w:val="00A13D6C"/>
    <w:rsid w:val="00A17A55"/>
    <w:rsid w:val="00A20780"/>
    <w:rsid w:val="00A26404"/>
    <w:rsid w:val="00A27EBD"/>
    <w:rsid w:val="00A32521"/>
    <w:rsid w:val="00A35E96"/>
    <w:rsid w:val="00A40E96"/>
    <w:rsid w:val="00A44EDF"/>
    <w:rsid w:val="00A46B2F"/>
    <w:rsid w:val="00A50E5D"/>
    <w:rsid w:val="00A52A32"/>
    <w:rsid w:val="00A66099"/>
    <w:rsid w:val="00A70F58"/>
    <w:rsid w:val="00A716F9"/>
    <w:rsid w:val="00A734F4"/>
    <w:rsid w:val="00A87544"/>
    <w:rsid w:val="00A92936"/>
    <w:rsid w:val="00A956C2"/>
    <w:rsid w:val="00A968BF"/>
    <w:rsid w:val="00AA24E9"/>
    <w:rsid w:val="00AA25A3"/>
    <w:rsid w:val="00AA2AA3"/>
    <w:rsid w:val="00AB309F"/>
    <w:rsid w:val="00AB6AB9"/>
    <w:rsid w:val="00AC04EA"/>
    <w:rsid w:val="00AE0988"/>
    <w:rsid w:val="00AE171C"/>
    <w:rsid w:val="00AF31AF"/>
    <w:rsid w:val="00B05A4A"/>
    <w:rsid w:val="00B10F8A"/>
    <w:rsid w:val="00B168A6"/>
    <w:rsid w:val="00B23E9A"/>
    <w:rsid w:val="00B26FD7"/>
    <w:rsid w:val="00B27630"/>
    <w:rsid w:val="00B321C7"/>
    <w:rsid w:val="00B447EE"/>
    <w:rsid w:val="00B475F8"/>
    <w:rsid w:val="00B54A98"/>
    <w:rsid w:val="00B5654B"/>
    <w:rsid w:val="00B615BC"/>
    <w:rsid w:val="00B62CBA"/>
    <w:rsid w:val="00B6410C"/>
    <w:rsid w:val="00B75677"/>
    <w:rsid w:val="00B7571E"/>
    <w:rsid w:val="00B75C29"/>
    <w:rsid w:val="00B76AD5"/>
    <w:rsid w:val="00B87E1E"/>
    <w:rsid w:val="00B95DCF"/>
    <w:rsid w:val="00BA3BFE"/>
    <w:rsid w:val="00BB5C1C"/>
    <w:rsid w:val="00BC1C10"/>
    <w:rsid w:val="00BC24CF"/>
    <w:rsid w:val="00BC56C4"/>
    <w:rsid w:val="00BC5DC2"/>
    <w:rsid w:val="00BD0751"/>
    <w:rsid w:val="00BD14B0"/>
    <w:rsid w:val="00BD4462"/>
    <w:rsid w:val="00BE5709"/>
    <w:rsid w:val="00BF37F3"/>
    <w:rsid w:val="00BF3D56"/>
    <w:rsid w:val="00C03C8A"/>
    <w:rsid w:val="00C056B6"/>
    <w:rsid w:val="00C10917"/>
    <w:rsid w:val="00C204A3"/>
    <w:rsid w:val="00C22C87"/>
    <w:rsid w:val="00C3175B"/>
    <w:rsid w:val="00C37EDF"/>
    <w:rsid w:val="00C44E98"/>
    <w:rsid w:val="00C5031A"/>
    <w:rsid w:val="00C50C45"/>
    <w:rsid w:val="00C519A5"/>
    <w:rsid w:val="00C555EB"/>
    <w:rsid w:val="00C6221A"/>
    <w:rsid w:val="00C6627F"/>
    <w:rsid w:val="00C675B4"/>
    <w:rsid w:val="00C7065B"/>
    <w:rsid w:val="00C77839"/>
    <w:rsid w:val="00C93B18"/>
    <w:rsid w:val="00CB15BB"/>
    <w:rsid w:val="00CB21B9"/>
    <w:rsid w:val="00CC2F82"/>
    <w:rsid w:val="00CC718E"/>
    <w:rsid w:val="00CC7901"/>
    <w:rsid w:val="00CE40D3"/>
    <w:rsid w:val="00CF0182"/>
    <w:rsid w:val="00CF18B4"/>
    <w:rsid w:val="00CF2085"/>
    <w:rsid w:val="00D108FF"/>
    <w:rsid w:val="00D213B6"/>
    <w:rsid w:val="00D32B3B"/>
    <w:rsid w:val="00D34472"/>
    <w:rsid w:val="00D35CDB"/>
    <w:rsid w:val="00D36993"/>
    <w:rsid w:val="00D40CC7"/>
    <w:rsid w:val="00D414CF"/>
    <w:rsid w:val="00D449DC"/>
    <w:rsid w:val="00D555F4"/>
    <w:rsid w:val="00D702B2"/>
    <w:rsid w:val="00D767E2"/>
    <w:rsid w:val="00D84B0C"/>
    <w:rsid w:val="00D85905"/>
    <w:rsid w:val="00DA08BD"/>
    <w:rsid w:val="00DA774E"/>
    <w:rsid w:val="00DB3E04"/>
    <w:rsid w:val="00DB654E"/>
    <w:rsid w:val="00DD1E50"/>
    <w:rsid w:val="00DD1FAA"/>
    <w:rsid w:val="00DD70A7"/>
    <w:rsid w:val="00DE20B6"/>
    <w:rsid w:val="00DE363E"/>
    <w:rsid w:val="00DF19F2"/>
    <w:rsid w:val="00DF3E2A"/>
    <w:rsid w:val="00DF4CAF"/>
    <w:rsid w:val="00DF5082"/>
    <w:rsid w:val="00E02816"/>
    <w:rsid w:val="00E04CE9"/>
    <w:rsid w:val="00E05733"/>
    <w:rsid w:val="00E07748"/>
    <w:rsid w:val="00E14283"/>
    <w:rsid w:val="00E25463"/>
    <w:rsid w:val="00E30247"/>
    <w:rsid w:val="00E31057"/>
    <w:rsid w:val="00E354A0"/>
    <w:rsid w:val="00E36599"/>
    <w:rsid w:val="00E53143"/>
    <w:rsid w:val="00E60D73"/>
    <w:rsid w:val="00E6182D"/>
    <w:rsid w:val="00E627D2"/>
    <w:rsid w:val="00E71BD4"/>
    <w:rsid w:val="00E73893"/>
    <w:rsid w:val="00E73B3A"/>
    <w:rsid w:val="00E77187"/>
    <w:rsid w:val="00E7761D"/>
    <w:rsid w:val="00E81D4C"/>
    <w:rsid w:val="00E91B6A"/>
    <w:rsid w:val="00E92ABA"/>
    <w:rsid w:val="00EA0D55"/>
    <w:rsid w:val="00EA28D0"/>
    <w:rsid w:val="00EA6423"/>
    <w:rsid w:val="00EB1742"/>
    <w:rsid w:val="00EB19D8"/>
    <w:rsid w:val="00EB2A02"/>
    <w:rsid w:val="00EB3656"/>
    <w:rsid w:val="00EB60B2"/>
    <w:rsid w:val="00EC19EB"/>
    <w:rsid w:val="00EC6B03"/>
    <w:rsid w:val="00ED37B8"/>
    <w:rsid w:val="00ED74ED"/>
    <w:rsid w:val="00EE2347"/>
    <w:rsid w:val="00EE76AC"/>
    <w:rsid w:val="00F042EF"/>
    <w:rsid w:val="00F1609E"/>
    <w:rsid w:val="00F17BB5"/>
    <w:rsid w:val="00F21F52"/>
    <w:rsid w:val="00F353ED"/>
    <w:rsid w:val="00F430E6"/>
    <w:rsid w:val="00F470EC"/>
    <w:rsid w:val="00F55416"/>
    <w:rsid w:val="00F56AE6"/>
    <w:rsid w:val="00F61326"/>
    <w:rsid w:val="00F61946"/>
    <w:rsid w:val="00F62A3D"/>
    <w:rsid w:val="00F66993"/>
    <w:rsid w:val="00F76D65"/>
    <w:rsid w:val="00F83306"/>
    <w:rsid w:val="00F84F1B"/>
    <w:rsid w:val="00F91561"/>
    <w:rsid w:val="00F91723"/>
    <w:rsid w:val="00FA6801"/>
    <w:rsid w:val="00FA6B3C"/>
    <w:rsid w:val="00FB049A"/>
    <w:rsid w:val="00FB2C6B"/>
    <w:rsid w:val="00FB4DA6"/>
    <w:rsid w:val="00FB61F0"/>
    <w:rsid w:val="00FC7A3B"/>
    <w:rsid w:val="00FD4BE7"/>
    <w:rsid w:val="00FD6EBE"/>
    <w:rsid w:val="00FE63DA"/>
    <w:rsid w:val="00FE7D1E"/>
    <w:rsid w:val="00FF2E99"/>
    <w:rsid w:val="00FF4DFB"/>
    <w:rsid w:val="00FF7091"/>
    <w:rsid w:val="00FF71CE"/>
    <w:rsid w:val="016D4D19"/>
    <w:rsid w:val="01BB0B78"/>
    <w:rsid w:val="021358C1"/>
    <w:rsid w:val="023C3962"/>
    <w:rsid w:val="025A529E"/>
    <w:rsid w:val="027B1AB9"/>
    <w:rsid w:val="028D3F88"/>
    <w:rsid w:val="028E33F2"/>
    <w:rsid w:val="03062D2F"/>
    <w:rsid w:val="033A0C2B"/>
    <w:rsid w:val="03887BE8"/>
    <w:rsid w:val="03E37F54"/>
    <w:rsid w:val="03E47515"/>
    <w:rsid w:val="03E84E6C"/>
    <w:rsid w:val="045D4EAD"/>
    <w:rsid w:val="05962A91"/>
    <w:rsid w:val="05C50C80"/>
    <w:rsid w:val="05F41565"/>
    <w:rsid w:val="066647AF"/>
    <w:rsid w:val="06B0672D"/>
    <w:rsid w:val="072B0649"/>
    <w:rsid w:val="07333E9F"/>
    <w:rsid w:val="07473127"/>
    <w:rsid w:val="07603356"/>
    <w:rsid w:val="07827039"/>
    <w:rsid w:val="07C2475A"/>
    <w:rsid w:val="07E41DF0"/>
    <w:rsid w:val="08234384"/>
    <w:rsid w:val="08CB0CA3"/>
    <w:rsid w:val="08E62942"/>
    <w:rsid w:val="09195C96"/>
    <w:rsid w:val="095E1B17"/>
    <w:rsid w:val="09934CE1"/>
    <w:rsid w:val="09B96D4E"/>
    <w:rsid w:val="0A3F04C3"/>
    <w:rsid w:val="0A4A3E4A"/>
    <w:rsid w:val="0A7B5B1E"/>
    <w:rsid w:val="0A9926DB"/>
    <w:rsid w:val="0AA277E5"/>
    <w:rsid w:val="0AC534D0"/>
    <w:rsid w:val="0B161F7E"/>
    <w:rsid w:val="0BF93102"/>
    <w:rsid w:val="0C0C31D3"/>
    <w:rsid w:val="0C177D5B"/>
    <w:rsid w:val="0C2030B4"/>
    <w:rsid w:val="0D6F0D16"/>
    <w:rsid w:val="0D921D8F"/>
    <w:rsid w:val="0DB77225"/>
    <w:rsid w:val="0E35096D"/>
    <w:rsid w:val="0E3A41D5"/>
    <w:rsid w:val="0EB75826"/>
    <w:rsid w:val="0EDD6FC9"/>
    <w:rsid w:val="0F470958"/>
    <w:rsid w:val="10043E2B"/>
    <w:rsid w:val="104B091B"/>
    <w:rsid w:val="108005C5"/>
    <w:rsid w:val="10833C11"/>
    <w:rsid w:val="11034D52"/>
    <w:rsid w:val="117A3266"/>
    <w:rsid w:val="11B036FF"/>
    <w:rsid w:val="11CC1B7C"/>
    <w:rsid w:val="127B54E8"/>
    <w:rsid w:val="127E6D86"/>
    <w:rsid w:val="12EC7D9D"/>
    <w:rsid w:val="134A7C71"/>
    <w:rsid w:val="13522CF1"/>
    <w:rsid w:val="136D670D"/>
    <w:rsid w:val="138753F0"/>
    <w:rsid w:val="138A3509"/>
    <w:rsid w:val="13AE48C6"/>
    <w:rsid w:val="13C94031"/>
    <w:rsid w:val="13EE1531"/>
    <w:rsid w:val="143D67CD"/>
    <w:rsid w:val="145C6C53"/>
    <w:rsid w:val="148814F4"/>
    <w:rsid w:val="15463115"/>
    <w:rsid w:val="15534AD9"/>
    <w:rsid w:val="15714A54"/>
    <w:rsid w:val="1640390F"/>
    <w:rsid w:val="1653052A"/>
    <w:rsid w:val="166B5873"/>
    <w:rsid w:val="168D120F"/>
    <w:rsid w:val="168E2652"/>
    <w:rsid w:val="16D15307"/>
    <w:rsid w:val="17435EA8"/>
    <w:rsid w:val="17777B16"/>
    <w:rsid w:val="17A17BC6"/>
    <w:rsid w:val="17C76AD9"/>
    <w:rsid w:val="17DB07D7"/>
    <w:rsid w:val="189C45AA"/>
    <w:rsid w:val="194523AC"/>
    <w:rsid w:val="199946FB"/>
    <w:rsid w:val="1A0B6DFC"/>
    <w:rsid w:val="1A5403CD"/>
    <w:rsid w:val="1A644AB4"/>
    <w:rsid w:val="1A654359"/>
    <w:rsid w:val="1A8213DE"/>
    <w:rsid w:val="1AE13BA6"/>
    <w:rsid w:val="1B343193"/>
    <w:rsid w:val="1B4A4141"/>
    <w:rsid w:val="1B570174"/>
    <w:rsid w:val="1BB630ED"/>
    <w:rsid w:val="1BD6553D"/>
    <w:rsid w:val="1BE063BC"/>
    <w:rsid w:val="1BFA15CD"/>
    <w:rsid w:val="1C295FB5"/>
    <w:rsid w:val="1C7238D5"/>
    <w:rsid w:val="1CBB085F"/>
    <w:rsid w:val="1CE15084"/>
    <w:rsid w:val="1CFF6195"/>
    <w:rsid w:val="1D2453AC"/>
    <w:rsid w:val="1D320F9F"/>
    <w:rsid w:val="1DBC4C07"/>
    <w:rsid w:val="1E4F0343"/>
    <w:rsid w:val="1E722324"/>
    <w:rsid w:val="1EA90CE7"/>
    <w:rsid w:val="1EBB5BBA"/>
    <w:rsid w:val="1ED55F80"/>
    <w:rsid w:val="1EDC7F5E"/>
    <w:rsid w:val="1F3A2287"/>
    <w:rsid w:val="1F5275D0"/>
    <w:rsid w:val="1FFC12C7"/>
    <w:rsid w:val="202B1BD0"/>
    <w:rsid w:val="211A7E2A"/>
    <w:rsid w:val="21A52AC4"/>
    <w:rsid w:val="224C4735"/>
    <w:rsid w:val="22CC5A6B"/>
    <w:rsid w:val="22DB477E"/>
    <w:rsid w:val="23270D74"/>
    <w:rsid w:val="235F7526"/>
    <w:rsid w:val="236C5D86"/>
    <w:rsid w:val="238B4E5F"/>
    <w:rsid w:val="24372C19"/>
    <w:rsid w:val="248C5333"/>
    <w:rsid w:val="24984EEA"/>
    <w:rsid w:val="24AE34FB"/>
    <w:rsid w:val="254774AC"/>
    <w:rsid w:val="255676EF"/>
    <w:rsid w:val="25E378D3"/>
    <w:rsid w:val="26630315"/>
    <w:rsid w:val="26A66C72"/>
    <w:rsid w:val="26EA00EF"/>
    <w:rsid w:val="273146AB"/>
    <w:rsid w:val="2764282D"/>
    <w:rsid w:val="27E36863"/>
    <w:rsid w:val="283F68D0"/>
    <w:rsid w:val="284B1061"/>
    <w:rsid w:val="28A8200F"/>
    <w:rsid w:val="28D14971"/>
    <w:rsid w:val="28E13773"/>
    <w:rsid w:val="28E60D8A"/>
    <w:rsid w:val="2963161B"/>
    <w:rsid w:val="298E10F3"/>
    <w:rsid w:val="2996630C"/>
    <w:rsid w:val="29E71B52"/>
    <w:rsid w:val="2A225DF1"/>
    <w:rsid w:val="2A703001"/>
    <w:rsid w:val="2A781EB5"/>
    <w:rsid w:val="2A944F41"/>
    <w:rsid w:val="2ABB0720"/>
    <w:rsid w:val="2ACB0237"/>
    <w:rsid w:val="2AE01D39"/>
    <w:rsid w:val="2B5841C1"/>
    <w:rsid w:val="2B746B21"/>
    <w:rsid w:val="2BBC29B5"/>
    <w:rsid w:val="2BE451E6"/>
    <w:rsid w:val="2BE62D30"/>
    <w:rsid w:val="2C043A01"/>
    <w:rsid w:val="2C22657D"/>
    <w:rsid w:val="2C8E3C12"/>
    <w:rsid w:val="2C9D423F"/>
    <w:rsid w:val="2CB0245B"/>
    <w:rsid w:val="2CC47634"/>
    <w:rsid w:val="2D0D0FDB"/>
    <w:rsid w:val="2D7330BD"/>
    <w:rsid w:val="2D937732"/>
    <w:rsid w:val="2DA9006B"/>
    <w:rsid w:val="2E1F1B7B"/>
    <w:rsid w:val="2E6F4E86"/>
    <w:rsid w:val="2E8452CD"/>
    <w:rsid w:val="2E953036"/>
    <w:rsid w:val="2E980D78"/>
    <w:rsid w:val="2EC27BA3"/>
    <w:rsid w:val="2ED718A0"/>
    <w:rsid w:val="2F104DB2"/>
    <w:rsid w:val="2F495986"/>
    <w:rsid w:val="2F4B1946"/>
    <w:rsid w:val="2F794548"/>
    <w:rsid w:val="2F837332"/>
    <w:rsid w:val="309B5A2B"/>
    <w:rsid w:val="30E107B4"/>
    <w:rsid w:val="30FC17BD"/>
    <w:rsid w:val="3102072B"/>
    <w:rsid w:val="310D525E"/>
    <w:rsid w:val="319F20E0"/>
    <w:rsid w:val="31E44F2B"/>
    <w:rsid w:val="31E7004C"/>
    <w:rsid w:val="32AC3044"/>
    <w:rsid w:val="33014B62"/>
    <w:rsid w:val="330C5891"/>
    <w:rsid w:val="331C3D26"/>
    <w:rsid w:val="332E3A59"/>
    <w:rsid w:val="333A41AC"/>
    <w:rsid w:val="338E62A6"/>
    <w:rsid w:val="33A37FA3"/>
    <w:rsid w:val="33F63D38"/>
    <w:rsid w:val="34085D45"/>
    <w:rsid w:val="34431A58"/>
    <w:rsid w:val="34545741"/>
    <w:rsid w:val="347C4740"/>
    <w:rsid w:val="34C93A39"/>
    <w:rsid w:val="34F605A6"/>
    <w:rsid w:val="35363B2B"/>
    <w:rsid w:val="353F3069"/>
    <w:rsid w:val="358931C8"/>
    <w:rsid w:val="35951B6D"/>
    <w:rsid w:val="35A61B4D"/>
    <w:rsid w:val="35CB6607"/>
    <w:rsid w:val="35EA1EB9"/>
    <w:rsid w:val="36936E01"/>
    <w:rsid w:val="36B74B2C"/>
    <w:rsid w:val="36C7044C"/>
    <w:rsid w:val="36E7289C"/>
    <w:rsid w:val="37040D59"/>
    <w:rsid w:val="371C7253"/>
    <w:rsid w:val="375F68D7"/>
    <w:rsid w:val="37695060"/>
    <w:rsid w:val="37B256AA"/>
    <w:rsid w:val="37ED7A3F"/>
    <w:rsid w:val="37F52D97"/>
    <w:rsid w:val="384C55CF"/>
    <w:rsid w:val="38A547BD"/>
    <w:rsid w:val="38A63653"/>
    <w:rsid w:val="38BD3EBB"/>
    <w:rsid w:val="38D86C56"/>
    <w:rsid w:val="38F848ED"/>
    <w:rsid w:val="390908A8"/>
    <w:rsid w:val="390E7D2E"/>
    <w:rsid w:val="39482B64"/>
    <w:rsid w:val="39E111BD"/>
    <w:rsid w:val="39F72DF7"/>
    <w:rsid w:val="3A03179B"/>
    <w:rsid w:val="3A736762"/>
    <w:rsid w:val="3A7601BF"/>
    <w:rsid w:val="3AB021B9"/>
    <w:rsid w:val="3B5D4EDB"/>
    <w:rsid w:val="3BC1190E"/>
    <w:rsid w:val="3C2B322B"/>
    <w:rsid w:val="3C320116"/>
    <w:rsid w:val="3C6B7068"/>
    <w:rsid w:val="3CAE0B48"/>
    <w:rsid w:val="3CB65233"/>
    <w:rsid w:val="3CDF1048"/>
    <w:rsid w:val="3D106F43"/>
    <w:rsid w:val="3D2A57AB"/>
    <w:rsid w:val="3D59707E"/>
    <w:rsid w:val="3E3119E6"/>
    <w:rsid w:val="3E5953A2"/>
    <w:rsid w:val="3E6E73FF"/>
    <w:rsid w:val="3EC17BFE"/>
    <w:rsid w:val="3EF20EC3"/>
    <w:rsid w:val="3F0D4007"/>
    <w:rsid w:val="3F1C50AD"/>
    <w:rsid w:val="3F4E170B"/>
    <w:rsid w:val="3F516B05"/>
    <w:rsid w:val="3FCA3E50"/>
    <w:rsid w:val="3FEB7BD8"/>
    <w:rsid w:val="401D4132"/>
    <w:rsid w:val="40550D84"/>
    <w:rsid w:val="411C75E7"/>
    <w:rsid w:val="41A53138"/>
    <w:rsid w:val="41AD703D"/>
    <w:rsid w:val="41BF18FF"/>
    <w:rsid w:val="42844879"/>
    <w:rsid w:val="429725BC"/>
    <w:rsid w:val="42B96278"/>
    <w:rsid w:val="436C6603"/>
    <w:rsid w:val="440E3217"/>
    <w:rsid w:val="44564BBE"/>
    <w:rsid w:val="44BC7116"/>
    <w:rsid w:val="44D055FE"/>
    <w:rsid w:val="45AF0D4D"/>
    <w:rsid w:val="45C02C36"/>
    <w:rsid w:val="46A75BA4"/>
    <w:rsid w:val="46F53B97"/>
    <w:rsid w:val="4701608D"/>
    <w:rsid w:val="4779309D"/>
    <w:rsid w:val="478009BA"/>
    <w:rsid w:val="47B153B8"/>
    <w:rsid w:val="47C50090"/>
    <w:rsid w:val="47DD13F3"/>
    <w:rsid w:val="485D75C6"/>
    <w:rsid w:val="488066AD"/>
    <w:rsid w:val="48847F4B"/>
    <w:rsid w:val="48A44149"/>
    <w:rsid w:val="492F5C0B"/>
    <w:rsid w:val="493C780D"/>
    <w:rsid w:val="496B4C67"/>
    <w:rsid w:val="499D3124"/>
    <w:rsid w:val="49E14F29"/>
    <w:rsid w:val="4A6D4A0F"/>
    <w:rsid w:val="4A803C15"/>
    <w:rsid w:val="4AB16FF2"/>
    <w:rsid w:val="4B014447"/>
    <w:rsid w:val="4B3F5994"/>
    <w:rsid w:val="4B444CD0"/>
    <w:rsid w:val="4B9F6E4A"/>
    <w:rsid w:val="4BE65FC9"/>
    <w:rsid w:val="4BE733AC"/>
    <w:rsid w:val="4C891FD4"/>
    <w:rsid w:val="4CB42DC9"/>
    <w:rsid w:val="4D096C71"/>
    <w:rsid w:val="4D241CFD"/>
    <w:rsid w:val="4D2717ED"/>
    <w:rsid w:val="4D507A4C"/>
    <w:rsid w:val="4DFE60AA"/>
    <w:rsid w:val="4E1221A2"/>
    <w:rsid w:val="4E8567CB"/>
    <w:rsid w:val="4E964534"/>
    <w:rsid w:val="4F086B2B"/>
    <w:rsid w:val="4F161B19"/>
    <w:rsid w:val="4F3E7910"/>
    <w:rsid w:val="4F6E54B1"/>
    <w:rsid w:val="4FB235F0"/>
    <w:rsid w:val="501047BA"/>
    <w:rsid w:val="502D353A"/>
    <w:rsid w:val="513149E8"/>
    <w:rsid w:val="51713037"/>
    <w:rsid w:val="51C23892"/>
    <w:rsid w:val="51C413B8"/>
    <w:rsid w:val="521F1CB7"/>
    <w:rsid w:val="528B637A"/>
    <w:rsid w:val="529F5982"/>
    <w:rsid w:val="52AB4326"/>
    <w:rsid w:val="52B14033"/>
    <w:rsid w:val="5379147E"/>
    <w:rsid w:val="53DD399F"/>
    <w:rsid w:val="545D78A2"/>
    <w:rsid w:val="547F1E7B"/>
    <w:rsid w:val="54CB0CB0"/>
    <w:rsid w:val="54EC1B4E"/>
    <w:rsid w:val="54FA571D"/>
    <w:rsid w:val="55142657"/>
    <w:rsid w:val="55E95892"/>
    <w:rsid w:val="5621327D"/>
    <w:rsid w:val="56222D48"/>
    <w:rsid w:val="562E7748"/>
    <w:rsid w:val="564104D7"/>
    <w:rsid w:val="56582A17"/>
    <w:rsid w:val="566804F5"/>
    <w:rsid w:val="5670571B"/>
    <w:rsid w:val="56DC0F52"/>
    <w:rsid w:val="56FD68A7"/>
    <w:rsid w:val="572D7A00"/>
    <w:rsid w:val="57743881"/>
    <w:rsid w:val="579D2DD8"/>
    <w:rsid w:val="584C0382"/>
    <w:rsid w:val="58561213"/>
    <w:rsid w:val="58A3441E"/>
    <w:rsid w:val="58B82E24"/>
    <w:rsid w:val="58D02D39"/>
    <w:rsid w:val="59053EBF"/>
    <w:rsid w:val="593863CE"/>
    <w:rsid w:val="595E20F3"/>
    <w:rsid w:val="59E545C2"/>
    <w:rsid w:val="5A8B5169"/>
    <w:rsid w:val="5AC468CD"/>
    <w:rsid w:val="5AFE1DDF"/>
    <w:rsid w:val="5B280C0A"/>
    <w:rsid w:val="5B3550D5"/>
    <w:rsid w:val="5B370E4D"/>
    <w:rsid w:val="5BA04C44"/>
    <w:rsid w:val="5C0631BE"/>
    <w:rsid w:val="5CD37DBD"/>
    <w:rsid w:val="5CF07506"/>
    <w:rsid w:val="5D467CB5"/>
    <w:rsid w:val="5D573A29"/>
    <w:rsid w:val="5E2554D5"/>
    <w:rsid w:val="5E624951"/>
    <w:rsid w:val="5E6324D6"/>
    <w:rsid w:val="5E790366"/>
    <w:rsid w:val="5E927D0E"/>
    <w:rsid w:val="5EFF7ED4"/>
    <w:rsid w:val="5F555D46"/>
    <w:rsid w:val="5F5715A6"/>
    <w:rsid w:val="5F9F5213"/>
    <w:rsid w:val="5FD56E87"/>
    <w:rsid w:val="60031C46"/>
    <w:rsid w:val="60121E89"/>
    <w:rsid w:val="60A70823"/>
    <w:rsid w:val="60B62814"/>
    <w:rsid w:val="61587D6F"/>
    <w:rsid w:val="61BD3EA6"/>
    <w:rsid w:val="61DF3FED"/>
    <w:rsid w:val="6232236E"/>
    <w:rsid w:val="624C20DA"/>
    <w:rsid w:val="626A7D5A"/>
    <w:rsid w:val="628F062B"/>
    <w:rsid w:val="62BE3C02"/>
    <w:rsid w:val="62C54F90"/>
    <w:rsid w:val="62E80C7F"/>
    <w:rsid w:val="62EE3ACE"/>
    <w:rsid w:val="62F13785"/>
    <w:rsid w:val="637569B7"/>
    <w:rsid w:val="643E2B2A"/>
    <w:rsid w:val="64587FAF"/>
    <w:rsid w:val="651421FF"/>
    <w:rsid w:val="657038D9"/>
    <w:rsid w:val="65AB2B63"/>
    <w:rsid w:val="65FF07B9"/>
    <w:rsid w:val="668A09CB"/>
    <w:rsid w:val="66DB5200"/>
    <w:rsid w:val="66DC3A49"/>
    <w:rsid w:val="67016650"/>
    <w:rsid w:val="677A0A3F"/>
    <w:rsid w:val="678673E4"/>
    <w:rsid w:val="678F0C82"/>
    <w:rsid w:val="67987117"/>
    <w:rsid w:val="68134119"/>
    <w:rsid w:val="68AF46C8"/>
    <w:rsid w:val="68EF4B15"/>
    <w:rsid w:val="696A0640"/>
    <w:rsid w:val="69906087"/>
    <w:rsid w:val="69E9085D"/>
    <w:rsid w:val="6A9F256B"/>
    <w:rsid w:val="6B02276F"/>
    <w:rsid w:val="6B3700E0"/>
    <w:rsid w:val="6B465A01"/>
    <w:rsid w:val="6C757A27"/>
    <w:rsid w:val="6C8E2897"/>
    <w:rsid w:val="6CC8224D"/>
    <w:rsid w:val="6D095FAC"/>
    <w:rsid w:val="6D34343E"/>
    <w:rsid w:val="6D800432"/>
    <w:rsid w:val="6DBC51E2"/>
    <w:rsid w:val="6DC94FCE"/>
    <w:rsid w:val="6DDE15FC"/>
    <w:rsid w:val="6EA96D85"/>
    <w:rsid w:val="6EAE2EB7"/>
    <w:rsid w:val="6EF07192"/>
    <w:rsid w:val="6F731D3C"/>
    <w:rsid w:val="70031467"/>
    <w:rsid w:val="70797F0F"/>
    <w:rsid w:val="708D53AF"/>
    <w:rsid w:val="70B36D70"/>
    <w:rsid w:val="70EE4C92"/>
    <w:rsid w:val="710E791F"/>
    <w:rsid w:val="71C30496"/>
    <w:rsid w:val="71F8676D"/>
    <w:rsid w:val="720A0374"/>
    <w:rsid w:val="722A3062"/>
    <w:rsid w:val="726F27D5"/>
    <w:rsid w:val="730A5309"/>
    <w:rsid w:val="73867DE4"/>
    <w:rsid w:val="73ED2599"/>
    <w:rsid w:val="74BA74C3"/>
    <w:rsid w:val="75A26E6E"/>
    <w:rsid w:val="75C612F4"/>
    <w:rsid w:val="75DC4673"/>
    <w:rsid w:val="760D3775"/>
    <w:rsid w:val="764448FD"/>
    <w:rsid w:val="769F401E"/>
    <w:rsid w:val="76D33CC8"/>
    <w:rsid w:val="76DE441B"/>
    <w:rsid w:val="7782124A"/>
    <w:rsid w:val="77DF000D"/>
    <w:rsid w:val="77F7CD4A"/>
    <w:rsid w:val="79607369"/>
    <w:rsid w:val="79A961B6"/>
    <w:rsid w:val="79BF22E2"/>
    <w:rsid w:val="7A0F3269"/>
    <w:rsid w:val="7A1C7734"/>
    <w:rsid w:val="7A356A48"/>
    <w:rsid w:val="7A634A83"/>
    <w:rsid w:val="7AB9661B"/>
    <w:rsid w:val="7AD16D99"/>
    <w:rsid w:val="7B18439F"/>
    <w:rsid w:val="7B42141C"/>
    <w:rsid w:val="7B57450C"/>
    <w:rsid w:val="7B6770D5"/>
    <w:rsid w:val="7B7B492E"/>
    <w:rsid w:val="7B9E6331"/>
    <w:rsid w:val="7BD75F0A"/>
    <w:rsid w:val="7BF67E21"/>
    <w:rsid w:val="7D0E5983"/>
    <w:rsid w:val="7D580A83"/>
    <w:rsid w:val="7DD4295A"/>
    <w:rsid w:val="7E140DB1"/>
    <w:rsid w:val="7E2E5C88"/>
    <w:rsid w:val="7E820750"/>
    <w:rsid w:val="7F405C73"/>
    <w:rsid w:val="7F601E71"/>
    <w:rsid w:val="7F8C0EB8"/>
    <w:rsid w:val="7FB83A5B"/>
    <w:rsid w:val="7FCFAE6B"/>
    <w:rsid w:val="7FF94032"/>
    <w:rsid w:val="B7FF0DB2"/>
    <w:rsid w:val="C277DDDC"/>
    <w:rsid w:val="DDE5C386"/>
    <w:rsid w:val="FDB51ADC"/>
    <w:rsid w:val="FDEA5192"/>
    <w:rsid w:val="FFA73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line="560" w:lineRule="exact"/>
      <w:ind w:firstLine="400" w:firstLineChars="200"/>
    </w:pPr>
    <w:rPr>
      <w:rFonts w:ascii="仿宋_GB2312" w:hAnsi="仿宋_GB2312" w:eastAsia="仿宋_GB2312" w:cs="仿宋_GB2312"/>
      <w:sz w:val="32"/>
      <w:szCs w:val="22"/>
      <w:lang w:val="zh-CN" w:eastAsia="zh-CN" w:bidi="zh-CN"/>
    </w:rPr>
  </w:style>
  <w:style w:type="paragraph" w:styleId="2">
    <w:name w:val="heading 1"/>
    <w:basedOn w:val="1"/>
    <w:next w:val="1"/>
    <w:qFormat/>
    <w:uiPriority w:val="0"/>
    <w:pPr>
      <w:keepNext/>
      <w:keepLines/>
      <w:adjustRightInd w:val="0"/>
      <w:snapToGrid w:val="0"/>
      <w:ind w:firstLine="883"/>
      <w:jc w:val="both"/>
      <w:outlineLvl w:val="0"/>
    </w:pPr>
    <w:rPr>
      <w:rFonts w:eastAsia="黑体"/>
      <w:kern w:val="44"/>
    </w:rPr>
  </w:style>
  <w:style w:type="paragraph" w:styleId="3">
    <w:name w:val="heading 2"/>
    <w:basedOn w:val="1"/>
    <w:next w:val="1"/>
    <w:link w:val="35"/>
    <w:unhideWhenUsed/>
    <w:qFormat/>
    <w:uiPriority w:val="0"/>
    <w:pPr>
      <w:keepNext/>
      <w:keepLines/>
      <w:adjustRightInd w:val="0"/>
      <w:snapToGrid w:val="0"/>
      <w:ind w:firstLine="643"/>
      <w:jc w:val="both"/>
      <w:outlineLvl w:val="1"/>
    </w:pPr>
    <w:rPr>
      <w:rFonts w:ascii="Arial" w:hAnsi="Arial" w:eastAsia="楷体"/>
      <w:b/>
    </w:rPr>
  </w:style>
  <w:style w:type="paragraph" w:styleId="4">
    <w:name w:val="heading 3"/>
    <w:basedOn w:val="1"/>
    <w:next w:val="1"/>
    <w:link w:val="34"/>
    <w:unhideWhenUsed/>
    <w:qFormat/>
    <w:uiPriority w:val="0"/>
    <w:pPr>
      <w:keepNext/>
      <w:keepLines/>
      <w:adjustRightInd w:val="0"/>
      <w:snapToGrid w:val="0"/>
      <w:jc w:val="both"/>
      <w:outlineLvl w:val="2"/>
    </w:pPr>
    <w:rPr>
      <w:b/>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2"/>
    <w:qFormat/>
    <w:uiPriority w:val="0"/>
  </w:style>
  <w:style w:type="paragraph" w:styleId="6">
    <w:name w:val="Body Text"/>
    <w:basedOn w:val="1"/>
    <w:next w:val="7"/>
    <w:link w:val="21"/>
    <w:qFormat/>
    <w:uiPriority w:val="1"/>
    <w:rPr>
      <w:rFonts w:ascii="宋体" w:hAnsi="宋体" w:eastAsia="宋体" w:cs="宋体"/>
      <w:sz w:val="28"/>
      <w:szCs w:val="28"/>
    </w:rPr>
  </w:style>
  <w:style w:type="paragraph" w:styleId="7">
    <w:name w:val="Title"/>
    <w:next w:val="1"/>
    <w:qFormat/>
    <w:uiPriority w:val="0"/>
    <w:pPr>
      <w:widowControl w:val="0"/>
      <w:spacing w:line="560" w:lineRule="exact"/>
      <w:ind w:firstLine="720" w:firstLineChars="200"/>
      <w:jc w:val="center"/>
      <w:outlineLvl w:val="0"/>
    </w:pPr>
    <w:rPr>
      <w:rFonts w:ascii="方正小标宋_GBK" w:hAnsi="方正小标宋_GBK" w:eastAsia="方正小标宋_GBK" w:cs="方正小标宋_GBK"/>
      <w:kern w:val="2"/>
      <w:sz w:val="44"/>
      <w:szCs w:val="44"/>
      <w:lang w:val="en-US" w:eastAsia="zh-CN" w:bidi="ar-SA"/>
    </w:rPr>
  </w:style>
  <w:style w:type="paragraph" w:styleId="8">
    <w:name w:val="toc 3"/>
    <w:basedOn w:val="1"/>
    <w:next w:val="1"/>
    <w:qFormat/>
    <w:uiPriority w:val="39"/>
    <w:pPr>
      <w:tabs>
        <w:tab w:val="right" w:leader="dot" w:pos="0"/>
        <w:tab w:val="right" w:leader="dot" w:pos="9230"/>
      </w:tabs>
      <w:adjustRightInd w:val="0"/>
      <w:snapToGrid w:val="0"/>
      <w:ind w:left="840" w:leftChars="400" w:firstLine="0" w:firstLineChars="0"/>
    </w:pPr>
    <w:rPr>
      <w:sz w:val="28"/>
    </w:rPr>
  </w:style>
  <w:style w:type="paragraph" w:styleId="9">
    <w:name w:val="Balloon Text"/>
    <w:basedOn w:val="1"/>
    <w:link w:val="24"/>
    <w:qFormat/>
    <w:uiPriority w:val="0"/>
    <w:rPr>
      <w:sz w:val="18"/>
      <w:szCs w:val="18"/>
    </w:rPr>
  </w:style>
  <w:style w:type="paragraph" w:styleId="10">
    <w:name w:val="footer"/>
    <w:basedOn w:val="1"/>
    <w:link w:val="31"/>
    <w:qFormat/>
    <w:uiPriority w:val="99"/>
    <w:pPr>
      <w:tabs>
        <w:tab w:val="center" w:pos="4153"/>
        <w:tab w:val="right" w:pos="8306"/>
      </w:tabs>
      <w:snapToGrid w:val="0"/>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39"/>
    <w:pPr>
      <w:tabs>
        <w:tab w:val="right" w:leader="dot" w:pos="0"/>
        <w:tab w:val="right" w:leader="dot" w:pos="9230"/>
      </w:tabs>
      <w:adjustRightInd w:val="0"/>
      <w:snapToGrid w:val="0"/>
      <w:ind w:firstLine="0" w:firstLineChars="0"/>
    </w:pPr>
    <w:rPr>
      <w:sz w:val="28"/>
    </w:rPr>
  </w:style>
  <w:style w:type="paragraph" w:styleId="13">
    <w:name w:val="toc 2"/>
    <w:basedOn w:val="1"/>
    <w:next w:val="1"/>
    <w:qFormat/>
    <w:uiPriority w:val="39"/>
    <w:pPr>
      <w:tabs>
        <w:tab w:val="right" w:leader="dot" w:pos="0"/>
        <w:tab w:val="right" w:leader="dot" w:pos="9230"/>
      </w:tabs>
      <w:adjustRightInd w:val="0"/>
      <w:snapToGrid w:val="0"/>
      <w:ind w:left="420" w:leftChars="200" w:firstLine="0" w:firstLineChars="0"/>
    </w:pPr>
    <w:rPr>
      <w:sz w:val="28"/>
    </w:rPr>
  </w:style>
  <w:style w:type="paragraph" w:styleId="14">
    <w:name w:val="Normal (Web)"/>
    <w:basedOn w:val="1"/>
    <w:qFormat/>
    <w:uiPriority w:val="0"/>
    <w:pPr>
      <w:spacing w:before="100" w:beforeAutospacing="1" w:after="100" w:afterAutospacing="1"/>
    </w:pPr>
    <w:rPr>
      <w:rFonts w:cs="Times New Roman"/>
      <w:sz w:val="24"/>
      <w:lang w:val="en-US" w:bidi="ar-SA"/>
    </w:rPr>
  </w:style>
  <w:style w:type="paragraph" w:styleId="15">
    <w:name w:val="annotation subject"/>
    <w:basedOn w:val="5"/>
    <w:next w:val="5"/>
    <w:link w:val="33"/>
    <w:qFormat/>
    <w:uiPriority w:val="0"/>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character" w:styleId="20">
    <w:name w:val="annotation reference"/>
    <w:basedOn w:val="18"/>
    <w:qFormat/>
    <w:uiPriority w:val="0"/>
    <w:rPr>
      <w:sz w:val="21"/>
      <w:szCs w:val="21"/>
    </w:rPr>
  </w:style>
  <w:style w:type="character" w:customStyle="1" w:styleId="21">
    <w:name w:val="正文文本 字符"/>
    <w:basedOn w:val="18"/>
    <w:link w:val="6"/>
    <w:qFormat/>
    <w:uiPriority w:val="1"/>
    <w:rPr>
      <w:rFonts w:ascii="宋体" w:hAnsi="宋体" w:eastAsia="宋体" w:cs="宋体"/>
      <w:sz w:val="28"/>
      <w:szCs w:val="28"/>
      <w:lang w:val="zh-CN" w:bidi="zh-CN"/>
    </w:rPr>
  </w:style>
  <w:style w:type="paragraph" w:customStyle="1" w:styleId="22">
    <w:name w:val="WPSOffice手动目录 1"/>
    <w:qFormat/>
    <w:uiPriority w:val="0"/>
    <w:rPr>
      <w:rFonts w:ascii="Times New Roman" w:hAnsi="Times New Roman" w:eastAsia="宋体" w:cs="Times New Roman"/>
      <w:lang w:val="en-US" w:eastAsia="zh-CN" w:bidi="ar-SA"/>
    </w:rPr>
  </w:style>
  <w:style w:type="paragraph" w:customStyle="1" w:styleId="2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4">
    <w:name w:val="批注框文本 字符"/>
    <w:basedOn w:val="18"/>
    <w:link w:val="9"/>
    <w:qFormat/>
    <w:uiPriority w:val="0"/>
    <w:rPr>
      <w:rFonts w:asciiTheme="minorHAnsi" w:hAnsiTheme="minorHAnsi" w:eastAsiaTheme="minorEastAsia" w:cstheme="minorBidi"/>
      <w:kern w:val="2"/>
      <w:sz w:val="18"/>
      <w:szCs w:val="18"/>
    </w:rPr>
  </w:style>
  <w:style w:type="character" w:customStyle="1" w:styleId="25">
    <w:name w:val="font01"/>
    <w:basedOn w:val="18"/>
    <w:qFormat/>
    <w:uiPriority w:val="0"/>
    <w:rPr>
      <w:rFonts w:hint="eastAsia" w:ascii="宋体" w:hAnsi="宋体" w:eastAsia="宋体" w:cs="宋体"/>
      <w:color w:val="000000"/>
      <w:sz w:val="24"/>
      <w:szCs w:val="24"/>
      <w:u w:val="none"/>
    </w:rPr>
  </w:style>
  <w:style w:type="character" w:customStyle="1" w:styleId="26">
    <w:name w:val="font21"/>
    <w:basedOn w:val="18"/>
    <w:qFormat/>
    <w:uiPriority w:val="0"/>
    <w:rPr>
      <w:rFonts w:hint="eastAsia" w:ascii="宋体" w:hAnsi="宋体" w:eastAsia="宋体" w:cs="宋体"/>
      <w:color w:val="000000"/>
      <w:sz w:val="24"/>
      <w:szCs w:val="24"/>
      <w:u w:val="none"/>
    </w:rPr>
  </w:style>
  <w:style w:type="paragraph" w:styleId="27">
    <w:name w:val="List Paragraph"/>
    <w:basedOn w:val="1"/>
    <w:qFormat/>
    <w:uiPriority w:val="1"/>
    <w:pPr>
      <w:ind w:left="1070" w:hanging="324"/>
    </w:pPr>
  </w:style>
  <w:style w:type="character" w:customStyle="1" w:styleId="28">
    <w:name w:val="font41"/>
    <w:basedOn w:val="18"/>
    <w:qFormat/>
    <w:uiPriority w:val="0"/>
    <w:rPr>
      <w:rFonts w:hint="default" w:ascii="Times New Roman" w:hAnsi="Times New Roman" w:cs="Times New Roman"/>
      <w:color w:val="000000"/>
      <w:sz w:val="21"/>
      <w:szCs w:val="21"/>
      <w:u w:val="none"/>
    </w:rPr>
  </w:style>
  <w:style w:type="character" w:customStyle="1" w:styleId="29">
    <w:name w:val="font51"/>
    <w:basedOn w:val="18"/>
    <w:qFormat/>
    <w:uiPriority w:val="0"/>
    <w:rPr>
      <w:rFonts w:hint="default" w:ascii="Times New Roman" w:hAnsi="Times New Roman" w:cs="Times New Roman"/>
      <w:color w:val="000000"/>
      <w:sz w:val="21"/>
      <w:szCs w:val="21"/>
      <w:u w:val="none"/>
    </w:rPr>
  </w:style>
  <w:style w:type="character" w:customStyle="1" w:styleId="30">
    <w:name w:val="font31"/>
    <w:qFormat/>
    <w:uiPriority w:val="0"/>
    <w:rPr>
      <w:rFonts w:hint="eastAsia" w:ascii="仿宋" w:hAnsi="仿宋" w:eastAsia="仿宋" w:cs="仿宋"/>
      <w:color w:val="000000"/>
      <w:sz w:val="24"/>
      <w:szCs w:val="24"/>
      <w:u w:val="none"/>
    </w:rPr>
  </w:style>
  <w:style w:type="character" w:customStyle="1" w:styleId="31">
    <w:name w:val="页脚 字符"/>
    <w:basedOn w:val="18"/>
    <w:link w:val="10"/>
    <w:qFormat/>
    <w:uiPriority w:val="99"/>
    <w:rPr>
      <w:rFonts w:ascii="仿宋_GB2312" w:hAnsi="仿宋_GB2312" w:eastAsia="仿宋_GB2312" w:cs="仿宋_GB2312"/>
      <w:sz w:val="18"/>
      <w:szCs w:val="22"/>
      <w:lang w:val="zh-CN" w:bidi="zh-CN"/>
    </w:rPr>
  </w:style>
  <w:style w:type="character" w:customStyle="1" w:styleId="32">
    <w:name w:val="批注文字 字符"/>
    <w:basedOn w:val="18"/>
    <w:link w:val="5"/>
    <w:qFormat/>
    <w:uiPriority w:val="0"/>
    <w:rPr>
      <w:rFonts w:ascii="仿宋_GB2312" w:hAnsi="仿宋_GB2312" w:eastAsia="仿宋_GB2312" w:cs="仿宋_GB2312"/>
      <w:sz w:val="32"/>
      <w:szCs w:val="22"/>
      <w:lang w:val="zh-CN" w:bidi="zh-CN"/>
    </w:rPr>
  </w:style>
  <w:style w:type="character" w:customStyle="1" w:styleId="33">
    <w:name w:val="批注主题 字符"/>
    <w:basedOn w:val="32"/>
    <w:link w:val="15"/>
    <w:qFormat/>
    <w:uiPriority w:val="0"/>
    <w:rPr>
      <w:rFonts w:ascii="仿宋_GB2312" w:hAnsi="仿宋_GB2312" w:eastAsia="仿宋_GB2312" w:cs="仿宋_GB2312"/>
      <w:b/>
      <w:bCs/>
      <w:sz w:val="32"/>
      <w:szCs w:val="22"/>
      <w:lang w:val="zh-CN" w:bidi="zh-CN"/>
    </w:rPr>
  </w:style>
  <w:style w:type="character" w:customStyle="1" w:styleId="34">
    <w:name w:val="标题 3 字符"/>
    <w:link w:val="4"/>
    <w:qFormat/>
    <w:uiPriority w:val="0"/>
    <w:rPr>
      <w:b/>
    </w:rPr>
  </w:style>
  <w:style w:type="character" w:customStyle="1" w:styleId="35">
    <w:name w:val="标题 2 字符"/>
    <w:link w:val="3"/>
    <w:qFormat/>
    <w:uiPriority w:val="0"/>
    <w:rPr>
      <w:rFonts w:ascii="Arial" w:hAnsi="Arial" w:eastAsia="楷体"/>
      <w:b/>
    </w:rPr>
  </w:style>
  <w:style w:type="character" w:customStyle="1" w:styleId="36">
    <w:name w:val="font61"/>
    <w:basedOn w:val="18"/>
    <w:qFormat/>
    <w:uiPriority w:val="0"/>
    <w:rPr>
      <w:rFonts w:hint="eastAsia" w:ascii="仿宋_GB2312" w:eastAsia="仿宋_GB2312" w:cs="仿宋_GB2312"/>
      <w:color w:val="auto"/>
      <w:sz w:val="22"/>
      <w:szCs w:val="22"/>
      <w:u w:val="none"/>
    </w:rPr>
  </w:style>
  <w:style w:type="character" w:customStyle="1" w:styleId="37">
    <w:name w:val="font81"/>
    <w:basedOn w:val="18"/>
    <w:qFormat/>
    <w:uiPriority w:val="0"/>
    <w:rPr>
      <w:rFonts w:hint="eastAsia" w:ascii="宋体" w:hAnsi="宋体" w:eastAsia="宋体" w:cs="宋体"/>
      <w:color w:val="auto"/>
      <w:sz w:val="22"/>
      <w:szCs w:val="22"/>
      <w:u w:val="none"/>
    </w:rPr>
  </w:style>
  <w:style w:type="character" w:customStyle="1" w:styleId="38">
    <w:name w:val="font71"/>
    <w:basedOn w:val="18"/>
    <w:qFormat/>
    <w:uiPriority w:val="0"/>
    <w:rPr>
      <w:rFonts w:hint="eastAsia" w:ascii="宋体" w:hAnsi="宋体" w:eastAsia="宋体" w:cs="宋体"/>
      <w:color w:val="000000"/>
      <w:sz w:val="22"/>
      <w:szCs w:val="22"/>
      <w:u w:val="none"/>
    </w:rPr>
  </w:style>
  <w:style w:type="paragraph" w:customStyle="1" w:styleId="39">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40">
    <w:name w:val="font11"/>
    <w:basedOn w:val="18"/>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7271</Words>
  <Characters>7725</Characters>
  <Lines>159</Lines>
  <Paragraphs>44</Paragraphs>
  <TotalTime>6</TotalTime>
  <ScaleCrop>false</ScaleCrop>
  <LinksUpToDate>false</LinksUpToDate>
  <CharactersWithSpaces>7733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2020-12-12T19:58:00Z</dcterms:created>
  <dc:creator>11741</dc:creator>
  <cp:lastModifiedBy>user</cp:lastModifiedBy>
  <cp:lastPrinted>2024-05-22T19:19:00Z</cp:lastPrinted>
  <dcterms:modified xsi:type="dcterms:W3CDTF">2025-08-26T16:46:01Z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82B5F10A191D4D13ACDF5AAB1637C595_13</vt:lpwstr>
  </property>
  <property fmtid="{D5CDD505-2E9C-101B-9397-08002B2CF9AE}" pid="4" name="KSOTemplateDocerSaveRecord">
    <vt:lpwstr>eyJoZGlkIjoiZjVjMDk4MGRlODJlODQ0MmViNmUwMTc4YTBhNDU3OTMiLCJ1c2VySWQiOiIxNDExNjA4NTMzIn0=</vt:lpwstr>
  </property>
</Properties>
</file>