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（2024年度）</w:t>
      </w:r>
    </w:p>
    <w:p>
      <w:pPr>
        <w:spacing w:line="240" w:lineRule="exact"/>
        <w:rPr>
          <w:rFonts w:ascii="仿宋_GB2312" w:hAnsi="宋体" w:eastAsia="仿宋_GB2312"/>
          <w:sz w:val="30"/>
          <w:szCs w:val="30"/>
        </w:rPr>
      </w:pPr>
    </w:p>
    <w:tbl>
      <w:tblPr>
        <w:tblStyle w:val="7"/>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1127"/>
        <w:gridCol w:w="242"/>
        <w:gridCol w:w="992"/>
        <w:gridCol w:w="850"/>
        <w:gridCol w:w="175"/>
        <w:gridCol w:w="392"/>
        <w:gridCol w:w="312"/>
        <w:gridCol w:w="255"/>
        <w:gridCol w:w="591"/>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北京市知识产权公共服务体系建设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exact"/>
          <w:jc w:val="center"/>
        </w:trPr>
        <w:tc>
          <w:tcPr>
            <w:tcW w:w="1560"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193" w:type="dxa"/>
            <w:gridSpan w:val="5"/>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北京市知识产权局</w:t>
            </w:r>
          </w:p>
        </w:tc>
        <w:tc>
          <w:tcPr>
            <w:tcW w:w="1025"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北京市知识产权公共服务中心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noWrap/>
            <w:vAlign w:val="center"/>
          </w:tcPr>
          <w:p>
            <w:pPr>
              <w:widowControl/>
              <w:spacing w:line="240" w:lineRule="exact"/>
              <w:jc w:val="center"/>
              <w:rPr>
                <w:rFonts w:ascii="仿宋_GB2312" w:hAnsi="宋体" w:eastAsia="仿宋_GB2312" w:cs="宋体"/>
                <w:kern w:val="0"/>
                <w:szCs w:val="21"/>
              </w:rPr>
            </w:pPr>
          </w:p>
        </w:tc>
        <w:tc>
          <w:tcPr>
            <w:tcW w:w="1127"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3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25"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exact"/>
          <w:jc w:val="center"/>
        </w:trPr>
        <w:tc>
          <w:tcPr>
            <w:tcW w:w="1560" w:type="dxa"/>
            <w:gridSpan w:val="2"/>
            <w:vMerge w:val="continue"/>
            <w:noWrap/>
            <w:vAlign w:val="center"/>
          </w:tcPr>
          <w:p>
            <w:pPr>
              <w:widowControl/>
              <w:spacing w:line="240" w:lineRule="exact"/>
              <w:jc w:val="center"/>
              <w:rPr>
                <w:rFonts w:ascii="仿宋_GB2312" w:hAnsi="宋体" w:eastAsia="仿宋_GB2312" w:cs="宋体"/>
                <w:kern w:val="0"/>
                <w:szCs w:val="21"/>
              </w:rPr>
            </w:pPr>
          </w:p>
        </w:tc>
        <w:tc>
          <w:tcPr>
            <w:tcW w:w="1832" w:type="dxa"/>
            <w:gridSpan w:val="2"/>
            <w:noWrap/>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517.64</w:t>
            </w:r>
          </w:p>
        </w:tc>
        <w:tc>
          <w:tcPr>
            <w:tcW w:w="123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517.64</w:t>
            </w:r>
          </w:p>
        </w:tc>
        <w:tc>
          <w:tcPr>
            <w:tcW w:w="1025"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485.12</w:t>
            </w:r>
          </w:p>
        </w:tc>
        <w:tc>
          <w:tcPr>
            <w:tcW w:w="70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93.72%</w:t>
            </w:r>
          </w:p>
        </w:tc>
        <w:tc>
          <w:tcPr>
            <w:tcW w:w="710"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noWrap/>
            <w:vAlign w:val="center"/>
          </w:tcPr>
          <w:p>
            <w:pPr>
              <w:widowControl/>
              <w:spacing w:line="240" w:lineRule="exact"/>
              <w:jc w:val="center"/>
              <w:rPr>
                <w:rFonts w:ascii="仿宋_GB2312" w:hAnsi="宋体" w:eastAsia="仿宋_GB2312" w:cs="宋体"/>
                <w:kern w:val="0"/>
                <w:szCs w:val="21"/>
              </w:rPr>
            </w:pPr>
          </w:p>
        </w:tc>
        <w:tc>
          <w:tcPr>
            <w:tcW w:w="1832"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517.64</w:t>
            </w:r>
          </w:p>
        </w:tc>
        <w:tc>
          <w:tcPr>
            <w:tcW w:w="123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517.64</w:t>
            </w:r>
          </w:p>
        </w:tc>
        <w:tc>
          <w:tcPr>
            <w:tcW w:w="1025" w:type="dxa"/>
            <w:gridSpan w:val="2"/>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485.12</w:t>
            </w:r>
          </w:p>
        </w:tc>
        <w:tc>
          <w:tcPr>
            <w:tcW w:w="70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noWrap/>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93.72%</w:t>
            </w:r>
          </w:p>
        </w:tc>
        <w:tc>
          <w:tcPr>
            <w:tcW w:w="710"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noWrap/>
            <w:vAlign w:val="center"/>
          </w:tcPr>
          <w:p>
            <w:pPr>
              <w:widowControl/>
              <w:spacing w:line="240" w:lineRule="exact"/>
              <w:jc w:val="center"/>
              <w:rPr>
                <w:rFonts w:ascii="仿宋_GB2312" w:hAnsi="宋体" w:eastAsia="仿宋_GB2312" w:cs="宋体"/>
                <w:kern w:val="0"/>
                <w:szCs w:val="21"/>
              </w:rPr>
            </w:pPr>
          </w:p>
        </w:tc>
        <w:tc>
          <w:tcPr>
            <w:tcW w:w="1832"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noWrap/>
            <w:vAlign w:val="center"/>
          </w:tcPr>
          <w:p>
            <w:pPr>
              <w:widowControl/>
              <w:spacing w:line="240" w:lineRule="exact"/>
              <w:jc w:val="center"/>
              <w:rPr>
                <w:rFonts w:ascii="仿宋_GB2312" w:hAnsi="宋体" w:eastAsia="仿宋_GB2312" w:cs="宋体"/>
                <w:kern w:val="0"/>
                <w:szCs w:val="21"/>
              </w:rPr>
            </w:pPr>
          </w:p>
        </w:tc>
        <w:tc>
          <w:tcPr>
            <w:tcW w:w="1234" w:type="dxa"/>
            <w:gridSpan w:val="2"/>
            <w:noWrap/>
            <w:vAlign w:val="center"/>
          </w:tcPr>
          <w:p>
            <w:pPr>
              <w:widowControl/>
              <w:spacing w:line="240" w:lineRule="exact"/>
              <w:jc w:val="center"/>
              <w:rPr>
                <w:rFonts w:ascii="仿宋_GB2312" w:hAnsi="宋体" w:eastAsia="仿宋_GB2312" w:cs="宋体"/>
                <w:kern w:val="0"/>
                <w:szCs w:val="21"/>
              </w:rPr>
            </w:pPr>
          </w:p>
        </w:tc>
        <w:tc>
          <w:tcPr>
            <w:tcW w:w="1025" w:type="dxa"/>
            <w:gridSpan w:val="2"/>
            <w:noWrap/>
            <w:vAlign w:val="center"/>
          </w:tcPr>
          <w:p>
            <w:pPr>
              <w:widowControl/>
              <w:spacing w:line="240" w:lineRule="exact"/>
              <w:jc w:val="center"/>
              <w:rPr>
                <w:rFonts w:ascii="仿宋_GB2312" w:hAnsi="宋体" w:eastAsia="仿宋_GB2312" w:cs="宋体"/>
                <w:kern w:val="0"/>
                <w:szCs w:val="21"/>
              </w:rPr>
            </w:pPr>
          </w:p>
        </w:tc>
        <w:tc>
          <w:tcPr>
            <w:tcW w:w="70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noWrap/>
            <w:vAlign w:val="center"/>
          </w:tcPr>
          <w:p>
            <w:pPr>
              <w:widowControl/>
              <w:spacing w:line="240" w:lineRule="exact"/>
              <w:jc w:val="center"/>
              <w:rPr>
                <w:rFonts w:ascii="仿宋_GB2312" w:hAnsi="宋体" w:eastAsia="仿宋_GB2312" w:cs="宋体"/>
                <w:kern w:val="0"/>
                <w:szCs w:val="21"/>
              </w:rPr>
            </w:pPr>
          </w:p>
        </w:tc>
        <w:tc>
          <w:tcPr>
            <w:tcW w:w="710"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noWrap/>
            <w:vAlign w:val="center"/>
          </w:tcPr>
          <w:p>
            <w:pPr>
              <w:widowControl/>
              <w:spacing w:line="240" w:lineRule="exact"/>
              <w:jc w:val="center"/>
              <w:rPr>
                <w:rFonts w:ascii="仿宋_GB2312" w:hAnsi="宋体" w:eastAsia="仿宋_GB2312" w:cs="宋体"/>
                <w:kern w:val="0"/>
                <w:szCs w:val="21"/>
              </w:rPr>
            </w:pPr>
          </w:p>
        </w:tc>
        <w:tc>
          <w:tcPr>
            <w:tcW w:w="1832"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noWrap/>
            <w:vAlign w:val="center"/>
          </w:tcPr>
          <w:p>
            <w:pPr>
              <w:widowControl/>
              <w:spacing w:line="240" w:lineRule="exact"/>
              <w:jc w:val="center"/>
              <w:rPr>
                <w:rFonts w:ascii="仿宋_GB2312" w:hAnsi="宋体" w:eastAsia="仿宋_GB2312" w:cs="宋体"/>
                <w:kern w:val="0"/>
                <w:szCs w:val="21"/>
              </w:rPr>
            </w:pPr>
          </w:p>
        </w:tc>
        <w:tc>
          <w:tcPr>
            <w:tcW w:w="1234" w:type="dxa"/>
            <w:gridSpan w:val="2"/>
            <w:noWrap/>
            <w:vAlign w:val="center"/>
          </w:tcPr>
          <w:p>
            <w:pPr>
              <w:widowControl/>
              <w:spacing w:line="240" w:lineRule="exact"/>
              <w:jc w:val="center"/>
              <w:rPr>
                <w:rFonts w:ascii="仿宋_GB2312" w:hAnsi="宋体" w:eastAsia="仿宋_GB2312" w:cs="宋体"/>
                <w:kern w:val="0"/>
                <w:szCs w:val="21"/>
              </w:rPr>
            </w:pPr>
          </w:p>
        </w:tc>
        <w:tc>
          <w:tcPr>
            <w:tcW w:w="1025" w:type="dxa"/>
            <w:gridSpan w:val="2"/>
            <w:noWrap/>
            <w:vAlign w:val="center"/>
          </w:tcPr>
          <w:p>
            <w:pPr>
              <w:widowControl/>
              <w:spacing w:line="240" w:lineRule="exact"/>
              <w:jc w:val="center"/>
              <w:rPr>
                <w:rFonts w:ascii="仿宋_GB2312" w:hAnsi="宋体" w:eastAsia="仿宋_GB2312" w:cs="宋体"/>
                <w:kern w:val="0"/>
                <w:szCs w:val="21"/>
              </w:rPr>
            </w:pPr>
          </w:p>
        </w:tc>
        <w:tc>
          <w:tcPr>
            <w:tcW w:w="704"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noWrap/>
            <w:vAlign w:val="center"/>
          </w:tcPr>
          <w:p>
            <w:pPr>
              <w:widowControl/>
              <w:spacing w:line="240" w:lineRule="exact"/>
              <w:jc w:val="center"/>
              <w:rPr>
                <w:rFonts w:ascii="仿宋_GB2312" w:hAnsi="宋体" w:eastAsia="仿宋_GB2312" w:cs="宋体"/>
                <w:kern w:val="0"/>
                <w:szCs w:val="21"/>
              </w:rPr>
            </w:pPr>
          </w:p>
        </w:tc>
        <w:tc>
          <w:tcPr>
            <w:tcW w:w="710"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68" w:type="dxa"/>
            <w:gridSpan w:val="6"/>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285" w:type="dxa"/>
            <w:gridSpan w:val="7"/>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0"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5168" w:type="dxa"/>
            <w:gridSpan w:val="6"/>
            <w:noWrap/>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本项目持续加强知识产权公共服务体系建设，通过扶持工作站(含新建工作站)，支持工作站对入驻各类创新载体中的创新型中小微企业提供知识产权公共服务；开展知识产权公共服务规范化建设和能力提升，开发工作站联络员能力提升培训课件并组织培训和考核、开发创新创业知识产权系列公益培训课件并组织培训、更新《创新创业知识产权基础知识问答》；对区中心、工作站服务情况进行统计和评价，组织知识产权公共服务优秀案例评选；组织专家研究公共服务重点问题，为重点产业、重点企业提供专业服务。</w:t>
            </w:r>
          </w:p>
        </w:tc>
        <w:tc>
          <w:tcPr>
            <w:tcW w:w="3285" w:type="dxa"/>
            <w:gridSpan w:val="7"/>
            <w:noWrap/>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2024年，扶持98家工作站开展知识产权公共服务工作；持续开展知识产权公共服务规范化建设和能力提升工作；对扶持工作站服务情况进行统计和评价，组织知识产权公共服务优秀案例评选；组织专家研究公共服务重点问题，为重点产业、重点企业提供专业服务，有效提升我市知识产权公共服务质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exact"/>
          <w:jc w:val="center"/>
        </w:trPr>
        <w:tc>
          <w:tcPr>
            <w:tcW w:w="58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096" w:type="dxa"/>
            <w:gridSpan w:val="3"/>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992"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50" w:type="dxa"/>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7"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7"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工作站年度开展培训活动</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≥400次</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467次</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编制知识产权公共服务典型案例集</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1个</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1个</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开展区中心、工作站服务成效评价</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1次</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1个</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0"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举办区中心、工作站联络员交流、培训活动</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≥5次</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8次</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2</w:t>
            </w:r>
          </w:p>
        </w:tc>
        <w:tc>
          <w:tcPr>
            <w:tcW w:w="1301" w:type="dxa"/>
            <w:gridSpan w:val="2"/>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超额完成指标值，下一步加强工作的计划性，合理设置指标值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工作站年度解答咨询数量</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≥10000次</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13793次</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4</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超额完成指标值，工作站开展服务数量具有一定难预测性，下一步加强对近年工作站解答咨询数量变化趋势分析，合理设置指标值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工作站年度开展重点产业（企业）一对一服务数量</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≥110次</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129次</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年扶持工作站数量</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≥96家</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98家</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4</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4</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完成评价意见</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1个</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1个</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评选优秀案例的数量</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10个</w:t>
            </w:r>
          </w:p>
        </w:tc>
        <w:tc>
          <w:tcPr>
            <w:tcW w:w="850" w:type="dxa"/>
            <w:noWrap/>
            <w:vAlign w:val="center"/>
          </w:tcPr>
          <w:p>
            <w:pPr>
              <w:rPr>
                <w:rFonts w:ascii="仿宋_GB2312" w:hAnsi="宋体" w:eastAsia="仿宋_GB2312" w:cs="宋体"/>
                <w:spacing w:val="-20"/>
                <w:kern w:val="0"/>
                <w:szCs w:val="21"/>
              </w:rPr>
            </w:pPr>
            <w:r>
              <w:rPr>
                <w:rFonts w:hint="eastAsia" w:ascii="仿宋_GB2312" w:hAnsi="宋体" w:eastAsia="仿宋_GB2312" w:cs="宋体"/>
                <w:spacing w:val="-20"/>
                <w:kern w:val="0"/>
                <w:szCs w:val="21"/>
              </w:rPr>
              <w:t>10个</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both"/>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产生典型服务案例的数量</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≥20个</w:t>
            </w:r>
          </w:p>
        </w:tc>
        <w:tc>
          <w:tcPr>
            <w:tcW w:w="850" w:type="dxa"/>
            <w:noWrap/>
            <w:vAlign w:val="center"/>
          </w:tcPr>
          <w:p>
            <w:pPr>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25个</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年度培训人次</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≥3000人次</w:t>
            </w:r>
          </w:p>
        </w:tc>
        <w:tc>
          <w:tcPr>
            <w:tcW w:w="850" w:type="dxa"/>
            <w:noWrap/>
            <w:vAlign w:val="center"/>
          </w:tcPr>
          <w:p>
            <w:pPr>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3010人</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both"/>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工作站年度定点服务企业</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≥3000家</w:t>
            </w:r>
          </w:p>
        </w:tc>
        <w:tc>
          <w:tcPr>
            <w:tcW w:w="850" w:type="dxa"/>
            <w:noWrap/>
            <w:vAlign w:val="center"/>
          </w:tcPr>
          <w:p>
            <w:pPr>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3596家</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2</w:t>
            </w:r>
          </w:p>
        </w:tc>
        <w:tc>
          <w:tcPr>
            <w:tcW w:w="1301" w:type="dxa"/>
            <w:gridSpan w:val="2"/>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超额完成指标值，工作站开展服务数量具有一定难预测性，下一步加强对近年工作站定点服务企业数量变化趋势分析，合理设置指标值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通过考核的联络员比例</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≥90%</w:t>
            </w:r>
          </w:p>
        </w:tc>
        <w:tc>
          <w:tcPr>
            <w:tcW w:w="850" w:type="dxa"/>
            <w:noWrap/>
            <w:vAlign w:val="center"/>
          </w:tcPr>
          <w:p>
            <w:pPr>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92%</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both"/>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工作站扶持工作完成时间</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≤12月</w:t>
            </w:r>
          </w:p>
        </w:tc>
        <w:tc>
          <w:tcPr>
            <w:tcW w:w="850" w:type="dxa"/>
            <w:noWrap/>
            <w:vAlign w:val="center"/>
          </w:tcPr>
          <w:p>
            <w:pPr>
              <w:adjustRightInd w:val="0"/>
              <w:snapToGrid w:val="0"/>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12月前</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公共服务规范化建设和能力提升完成时限</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≤11月</w:t>
            </w:r>
          </w:p>
        </w:tc>
        <w:tc>
          <w:tcPr>
            <w:tcW w:w="850" w:type="dxa"/>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11月前</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区中心、工作站工作情况评价及服务典型案例评选完成时限</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≤11月</w:t>
            </w:r>
          </w:p>
        </w:tc>
        <w:tc>
          <w:tcPr>
            <w:tcW w:w="850" w:type="dxa"/>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11月前</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3</w:t>
            </w:r>
          </w:p>
        </w:tc>
        <w:tc>
          <w:tcPr>
            <w:tcW w:w="1301" w:type="dxa"/>
            <w:gridSpan w:val="2"/>
            <w:noWrap/>
            <w:vAlign w:val="center"/>
          </w:tcPr>
          <w:p>
            <w:pPr>
              <w:widowControl/>
              <w:spacing w:line="240" w:lineRule="exact"/>
              <w:jc w:val="both"/>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专精特新中小企业重点服务企业数量</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≥1000家</w:t>
            </w:r>
          </w:p>
        </w:tc>
        <w:tc>
          <w:tcPr>
            <w:tcW w:w="850" w:type="dxa"/>
            <w:noWrap/>
            <w:vAlign w:val="center"/>
          </w:tcPr>
          <w:p>
            <w:pPr>
              <w:widowControl/>
              <w:spacing w:line="240" w:lineRule="exact"/>
              <w:jc w:val="left"/>
              <w:rPr>
                <w:rFonts w:hint="eastAsia" w:ascii="仿宋_GB2312" w:hAnsi="宋体" w:eastAsia="仿宋_GB2312" w:cs="宋体"/>
                <w:spacing w:val="-20"/>
                <w:kern w:val="0"/>
                <w:szCs w:val="21"/>
                <w:lang w:val="en-US" w:eastAsia="zh-CN"/>
              </w:rPr>
            </w:pPr>
            <w:r>
              <w:rPr>
                <w:rFonts w:hint="eastAsia" w:ascii="仿宋_GB2312" w:hAnsi="宋体" w:eastAsia="仿宋_GB2312" w:cs="宋体"/>
                <w:spacing w:val="-20"/>
                <w:kern w:val="0"/>
                <w:szCs w:val="21"/>
              </w:rPr>
              <w:t>1021</w:t>
            </w:r>
            <w:r>
              <w:rPr>
                <w:rFonts w:hint="eastAsia" w:ascii="仿宋_GB2312" w:hAnsi="宋体" w:eastAsia="仿宋_GB2312" w:cs="宋体"/>
                <w:spacing w:val="-20"/>
                <w:kern w:val="0"/>
                <w:szCs w:val="21"/>
                <w:lang w:val="en-US" w:eastAsia="zh-CN"/>
              </w:rPr>
              <w:t>家</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工作站服务入驻企业的比例</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≥60%</w:t>
            </w:r>
          </w:p>
        </w:tc>
        <w:tc>
          <w:tcPr>
            <w:tcW w:w="850" w:type="dxa"/>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60%</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1301" w:type="dxa"/>
            <w:gridSpan w:val="2"/>
            <w:noWrap/>
            <w:vAlign w:val="center"/>
          </w:tcPr>
          <w:p>
            <w:pPr>
              <w:widowControl/>
              <w:spacing w:line="240" w:lineRule="exact"/>
              <w:jc w:val="both"/>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建立知识产权管理制度的入驻企业比例</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≥55%</w:t>
            </w:r>
          </w:p>
        </w:tc>
        <w:tc>
          <w:tcPr>
            <w:tcW w:w="850" w:type="dxa"/>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75%</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567" w:type="dxa"/>
            <w:gridSpan w:val="2"/>
            <w:noWrap/>
            <w:vAlign w:val="center"/>
          </w:tcPr>
          <w:p>
            <w:pPr>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10</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noWrap/>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服务工作站满意度</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≥90%</w:t>
            </w:r>
          </w:p>
        </w:tc>
        <w:tc>
          <w:tcPr>
            <w:tcW w:w="850" w:type="dxa"/>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95%</w:t>
            </w:r>
          </w:p>
        </w:tc>
        <w:tc>
          <w:tcPr>
            <w:tcW w:w="567" w:type="dxa"/>
            <w:gridSpan w:val="2"/>
            <w:noWrap/>
            <w:vAlign w:val="center"/>
          </w:tcPr>
          <w:p>
            <w:pPr>
              <w:widowControl/>
              <w:spacing w:line="240" w:lineRule="exact"/>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7" w:type="dxa"/>
            <w:gridSpan w:val="2"/>
            <w:noWrap/>
            <w:vAlign w:val="center"/>
          </w:tcPr>
          <w:p>
            <w:pPr>
              <w:widowControl/>
              <w:spacing w:line="240" w:lineRule="exact"/>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585" w:type="dxa"/>
            <w:vMerge w:val="continue"/>
            <w:noWrap/>
            <w:vAlign w:val="center"/>
          </w:tcPr>
          <w:p>
            <w:pPr>
              <w:widowControl/>
              <w:spacing w:line="240" w:lineRule="exact"/>
              <w:jc w:val="center"/>
              <w:rPr>
                <w:rFonts w:ascii="仿宋_GB2312" w:hAnsi="宋体" w:eastAsia="仿宋_GB2312" w:cs="宋体"/>
                <w:kern w:val="0"/>
                <w:szCs w:val="21"/>
              </w:rPr>
            </w:pPr>
          </w:p>
        </w:tc>
        <w:tc>
          <w:tcPr>
            <w:tcW w:w="975" w:type="dxa"/>
            <w:vMerge w:val="continue"/>
            <w:noWrap/>
            <w:vAlign w:val="center"/>
          </w:tcPr>
          <w:p>
            <w:pPr>
              <w:widowControl/>
              <w:spacing w:line="240" w:lineRule="exact"/>
              <w:jc w:val="center"/>
              <w:rPr>
                <w:rFonts w:ascii="仿宋_GB2312" w:hAnsi="宋体" w:eastAsia="仿宋_GB2312" w:cs="宋体"/>
                <w:kern w:val="0"/>
                <w:szCs w:val="21"/>
              </w:rPr>
            </w:pPr>
          </w:p>
        </w:tc>
        <w:tc>
          <w:tcPr>
            <w:tcW w:w="1105" w:type="dxa"/>
            <w:vMerge w:val="continue"/>
            <w:noWrap/>
            <w:vAlign w:val="center"/>
          </w:tcPr>
          <w:p>
            <w:pPr>
              <w:widowControl/>
              <w:spacing w:line="240" w:lineRule="exact"/>
              <w:jc w:val="center"/>
              <w:rPr>
                <w:rFonts w:ascii="仿宋_GB2312" w:hAnsi="宋体" w:eastAsia="仿宋_GB2312" w:cs="宋体"/>
                <w:kern w:val="0"/>
                <w:szCs w:val="21"/>
              </w:rPr>
            </w:pPr>
          </w:p>
        </w:tc>
        <w:tc>
          <w:tcPr>
            <w:tcW w:w="2096" w:type="dxa"/>
            <w:gridSpan w:val="3"/>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服务企业满意度</w:t>
            </w:r>
          </w:p>
        </w:tc>
        <w:tc>
          <w:tcPr>
            <w:tcW w:w="992" w:type="dxa"/>
            <w:noWrap/>
            <w:vAlign w:val="center"/>
          </w:tcPr>
          <w:p>
            <w:pPr>
              <w:adjustRightInd w:val="0"/>
              <w:snapToGrid w:val="0"/>
              <w:rPr>
                <w:rFonts w:ascii="仿宋_GB2312" w:hAnsi="宋体" w:eastAsia="仿宋_GB2312" w:cs="宋体"/>
                <w:spacing w:val="-20"/>
                <w:kern w:val="0"/>
                <w:szCs w:val="21"/>
              </w:rPr>
            </w:pPr>
            <w:r>
              <w:rPr>
                <w:rFonts w:hint="eastAsia" w:ascii="仿宋_GB2312" w:hAnsi="宋体" w:eastAsia="仿宋_GB2312" w:cs="宋体"/>
                <w:spacing w:val="-20"/>
                <w:kern w:val="0"/>
                <w:szCs w:val="21"/>
              </w:rPr>
              <w:t>≥85%</w:t>
            </w:r>
          </w:p>
        </w:tc>
        <w:tc>
          <w:tcPr>
            <w:tcW w:w="850" w:type="dxa"/>
            <w:noWrap/>
            <w:vAlign w:val="center"/>
          </w:tcPr>
          <w:p>
            <w:pPr>
              <w:widowControl/>
              <w:spacing w:line="240" w:lineRule="exact"/>
              <w:jc w:val="left"/>
              <w:rPr>
                <w:rFonts w:ascii="仿宋_GB2312" w:hAnsi="宋体" w:eastAsia="仿宋_GB2312" w:cs="宋体"/>
                <w:spacing w:val="-20"/>
                <w:kern w:val="0"/>
                <w:szCs w:val="21"/>
              </w:rPr>
            </w:pPr>
            <w:r>
              <w:rPr>
                <w:rFonts w:hint="eastAsia" w:ascii="仿宋_GB2312" w:hAnsi="宋体" w:eastAsia="仿宋_GB2312" w:cs="宋体"/>
                <w:spacing w:val="-20"/>
                <w:kern w:val="0"/>
                <w:szCs w:val="21"/>
              </w:rPr>
              <w:t>93%</w:t>
            </w:r>
          </w:p>
        </w:tc>
        <w:tc>
          <w:tcPr>
            <w:tcW w:w="567" w:type="dxa"/>
            <w:gridSpan w:val="2"/>
            <w:noWrap/>
            <w:vAlign w:val="center"/>
          </w:tcPr>
          <w:p>
            <w:pPr>
              <w:widowControl/>
              <w:spacing w:line="240" w:lineRule="exact"/>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567" w:type="dxa"/>
            <w:gridSpan w:val="2"/>
            <w:noWrap/>
            <w:vAlign w:val="center"/>
          </w:tcPr>
          <w:p>
            <w:pPr>
              <w:widowControl/>
              <w:spacing w:line="240" w:lineRule="exact"/>
              <w:jc w:val="center"/>
              <w:rPr>
                <w:rFonts w:ascii="仿宋_GB2312" w:hAnsi="宋体" w:eastAsia="仿宋_GB2312" w:cs="宋体"/>
                <w:spacing w:val="-20"/>
                <w:kern w:val="0"/>
                <w:szCs w:val="21"/>
              </w:rPr>
            </w:pPr>
            <w:r>
              <w:rPr>
                <w:rFonts w:hint="eastAsia" w:ascii="仿宋_GB2312" w:hAnsi="宋体" w:eastAsia="仿宋_GB2312" w:cs="宋体"/>
                <w:spacing w:val="-20"/>
                <w:kern w:val="0"/>
                <w:szCs w:val="21"/>
              </w:rPr>
              <w:t>5</w:t>
            </w:r>
          </w:p>
        </w:tc>
        <w:tc>
          <w:tcPr>
            <w:tcW w:w="1301" w:type="dxa"/>
            <w:gridSpan w:val="2"/>
            <w:noWrap/>
            <w:vAlign w:val="center"/>
          </w:tcPr>
          <w:p>
            <w:pPr>
              <w:widowControl/>
              <w:spacing w:line="240" w:lineRule="exact"/>
              <w:jc w:val="center"/>
              <w:rPr>
                <w:rFonts w:ascii="仿宋_GB2312" w:hAnsi="宋体" w:eastAsia="仿宋_GB2312" w:cs="宋体"/>
                <w:spacing w:val="-2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603" w:type="dxa"/>
            <w:gridSpan w:val="8"/>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7" w:type="dxa"/>
            <w:gridSpan w:val="2"/>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7" w:type="dxa"/>
            <w:gridSpan w:val="2"/>
            <w:noWrap/>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96.37</w:t>
            </w:r>
          </w:p>
        </w:tc>
        <w:tc>
          <w:tcPr>
            <w:tcW w:w="1301" w:type="dxa"/>
            <w:gridSpan w:val="2"/>
            <w:noWrap/>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28"/>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宋体" w:hAnsi="宋体"/>
        <w:sz w:val="28"/>
        <w:szCs w:val="28"/>
      </w:rPr>
    </w:pPr>
    <w:r>
      <w:rPr>
        <w:sz w:val="28"/>
      </w:rPr>
      <w:pict>
        <v:shape id="_x0000_s1026" o:spid="_x0000_s1026" o:spt="202" type="#_x0000_t202" style="position:absolute;left:0pt;margin-top:0pt;height:18.15pt;width:35.05pt;mso-position-horizontal:right;mso-position-horizontal-relative:margin;mso-wrap-style:none;z-index:251659264;mso-width-relative:page;mso-height-relative:page;" filled="f" stroked="f" coordsize="21600,21600" o:gfxdata="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c+G9IAAAADAQAADwAAAAAAAAABACAAAAAiAAAAZHJzL2Rvd25yZXYueG1sUEsBAhQA&#10;FAAAAAgAh07iQIhO+hkxAgAAUwQAAA4AAAAAAAAAAQAgAAAAIQEAAGRycy9lMm9Eb2MueG1sUEsF&#10;BgAAAAAGAAYAWQEAAMQFAAAAAA==&#10;">
          <v:path/>
          <v:fill on="f" focussize="0,0"/>
          <v:stroke on="f" weight="0.5pt" joinstyle="miter"/>
          <v:imagedata o:title=""/>
          <o:lock v:ext="edit"/>
          <v:textbox inset="0mm,0mm,0mm,0mm" style="mso-fit-shape-to-text:t;">
            <w:txbxContent>
              <w:p>
                <w:pPr>
                  <w:pStyle w:val="5"/>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F77F09F4"/>
    <w:rsid w:val="000D7F3F"/>
    <w:rsid w:val="000E0904"/>
    <w:rsid w:val="001237ED"/>
    <w:rsid w:val="001255E7"/>
    <w:rsid w:val="001322E6"/>
    <w:rsid w:val="00164AD9"/>
    <w:rsid w:val="00227078"/>
    <w:rsid w:val="00334BC1"/>
    <w:rsid w:val="003A59E0"/>
    <w:rsid w:val="003A7D9F"/>
    <w:rsid w:val="003F3C25"/>
    <w:rsid w:val="00526435"/>
    <w:rsid w:val="00530C73"/>
    <w:rsid w:val="00567C27"/>
    <w:rsid w:val="00614E38"/>
    <w:rsid w:val="00641C1F"/>
    <w:rsid w:val="006B3AEB"/>
    <w:rsid w:val="006C3947"/>
    <w:rsid w:val="00743E9A"/>
    <w:rsid w:val="00787BF4"/>
    <w:rsid w:val="00824551"/>
    <w:rsid w:val="00833267"/>
    <w:rsid w:val="00947CD7"/>
    <w:rsid w:val="0095109B"/>
    <w:rsid w:val="009840D1"/>
    <w:rsid w:val="00A0486B"/>
    <w:rsid w:val="00A21A79"/>
    <w:rsid w:val="00A22DC8"/>
    <w:rsid w:val="00A923AB"/>
    <w:rsid w:val="00AF7A08"/>
    <w:rsid w:val="00B05AD6"/>
    <w:rsid w:val="00BC3172"/>
    <w:rsid w:val="00BC62B5"/>
    <w:rsid w:val="00BE77CD"/>
    <w:rsid w:val="00BF324F"/>
    <w:rsid w:val="00C34086"/>
    <w:rsid w:val="00C6272F"/>
    <w:rsid w:val="00CC59CA"/>
    <w:rsid w:val="00D61473"/>
    <w:rsid w:val="00D74CA2"/>
    <w:rsid w:val="00E111B2"/>
    <w:rsid w:val="00E17194"/>
    <w:rsid w:val="00E57EAB"/>
    <w:rsid w:val="00F05830"/>
    <w:rsid w:val="00FC0310"/>
    <w:rsid w:val="07DBC411"/>
    <w:rsid w:val="090B0572"/>
    <w:rsid w:val="098812EC"/>
    <w:rsid w:val="0B5B26FE"/>
    <w:rsid w:val="0E4018D9"/>
    <w:rsid w:val="0EA5370E"/>
    <w:rsid w:val="129B557B"/>
    <w:rsid w:val="2297189C"/>
    <w:rsid w:val="24FC2631"/>
    <w:rsid w:val="28053D3B"/>
    <w:rsid w:val="37173543"/>
    <w:rsid w:val="394A6A75"/>
    <w:rsid w:val="397305AE"/>
    <w:rsid w:val="3FF76880"/>
    <w:rsid w:val="40DC39A9"/>
    <w:rsid w:val="46616FC6"/>
    <w:rsid w:val="4B36482D"/>
    <w:rsid w:val="4D3C0963"/>
    <w:rsid w:val="56C77239"/>
    <w:rsid w:val="58E86543"/>
    <w:rsid w:val="5DB64FB6"/>
    <w:rsid w:val="5FFF00CD"/>
    <w:rsid w:val="61FC06FB"/>
    <w:rsid w:val="622A75AE"/>
    <w:rsid w:val="645B2050"/>
    <w:rsid w:val="6C262F44"/>
    <w:rsid w:val="6CC23405"/>
    <w:rsid w:val="6FBBE988"/>
    <w:rsid w:val="777D8F66"/>
    <w:rsid w:val="7AB7FF50"/>
    <w:rsid w:val="7BBA4E35"/>
    <w:rsid w:val="7BFAB089"/>
    <w:rsid w:val="7BFEB0DB"/>
    <w:rsid w:val="7CF2632D"/>
    <w:rsid w:val="7F9B608E"/>
    <w:rsid w:val="7FDF3390"/>
    <w:rsid w:val="A8BF344D"/>
    <w:rsid w:val="CEFD3F3D"/>
    <w:rsid w:val="E76F2340"/>
    <w:rsid w:val="EA3F77F2"/>
    <w:rsid w:val="EEBF4ED9"/>
    <w:rsid w:val="EEFE5989"/>
    <w:rsid w:val="EF9F5590"/>
    <w:rsid w:val="EFCF3EAE"/>
    <w:rsid w:val="F27F1D5F"/>
    <w:rsid w:val="F2BFE50E"/>
    <w:rsid w:val="F5B764A2"/>
    <w:rsid w:val="F77F09F4"/>
    <w:rsid w:val="FFD7BFFC"/>
    <w:rsid w:val="FFD90CBD"/>
    <w:rsid w:val="FFFA6B0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szCs w:val="20"/>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9">
    <w:name w:val="annotation reference"/>
    <w:basedOn w:val="8"/>
    <w:qFormat/>
    <w:uiPriority w:val="0"/>
    <w:rPr>
      <w:sz w:val="21"/>
      <w:szCs w:val="21"/>
    </w:rPr>
  </w:style>
  <w:style w:type="paragraph" w:customStyle="1" w:styleId="10">
    <w:name w:val="列出段落1"/>
    <w:basedOn w:val="1"/>
    <w:qFormat/>
    <w:uiPriority w:val="34"/>
    <w:pPr>
      <w:ind w:firstLine="420" w:firstLineChars="200"/>
    </w:pPr>
    <w:rPr>
      <w:rFonts w:ascii="Calibri" w:hAnsi="Calibri" w:cs="黑体"/>
      <w:szCs w:val="22"/>
    </w:rPr>
  </w:style>
  <w:style w:type="character" w:customStyle="1" w:styleId="11">
    <w:name w:val="批注框文本 Char"/>
    <w:basedOn w:val="8"/>
    <w:link w:val="4"/>
    <w:qFormat/>
    <w:uiPriority w:val="0"/>
    <w:rPr>
      <w:rFonts w:ascii="Times New Roman" w:hAnsi="Times New Roman" w:eastAsia="宋体" w:cs="Times New Roman"/>
      <w:kern w:val="2"/>
      <w:sz w:val="18"/>
      <w:szCs w:val="18"/>
    </w:rPr>
  </w:style>
  <w:style w:type="paragraph" w:customStyle="1" w:styleId="12">
    <w:name w:val="修订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1212</Words>
  <Characters>1338</Characters>
  <Lines>11</Lines>
  <Paragraphs>3</Paragraphs>
  <TotalTime>7</TotalTime>
  <ScaleCrop>false</ScaleCrop>
  <LinksUpToDate>false</LinksUpToDate>
  <CharactersWithSpaces>1369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2025-05-16T23:02:00Z</dcterms:created>
  <dc:creator>user</dc:creator>
  <cp:lastModifiedBy>user</cp:lastModifiedBy>
  <cp:lastPrinted>2025-08-21T11:09:00Z</cp:lastPrinted>
  <dcterms:modified xsi:type="dcterms:W3CDTF">2025-08-26T17:53:16Z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C94891B1C02FA4D5AD7EA66822D13173_43</vt:lpwstr>
  </property>
  <property fmtid="{D5CDD505-2E9C-101B-9397-08002B2CF9AE}" pid="4" name="KSOTemplateDocerSaveRecord">
    <vt:lpwstr>eyJoZGlkIjoiZjVjMDk4MGRlODJlODQ0MmViNmUwMTc4YTBhNDU3OTMiLCJ1c2VySWQiOiIxNDExNjA4NTMzIn0=</vt:lpwstr>
  </property>
</Properties>
</file>