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F5F5C">
      <w:pPr>
        <w:spacing w:line="480" w:lineRule="exact"/>
        <w:jc w:val="center"/>
        <w:rPr>
          <w:rFonts w:hint="default" w:ascii="Times New Roman Regular" w:hAnsi="Times New Roman Regular" w:eastAsia="方正小标宋简体" w:cs="Times New Roman Regular"/>
          <w:sz w:val="36"/>
          <w:szCs w:val="36"/>
        </w:rPr>
      </w:pPr>
      <w:r>
        <w:rPr>
          <w:rFonts w:hint="default" w:ascii="Times New Roman Regular" w:hAnsi="Times New Roman Regular" w:eastAsia="方正小标宋简体" w:cs="Times New Roman Regular"/>
          <w:sz w:val="36"/>
          <w:szCs w:val="36"/>
        </w:rPr>
        <w:t>项目支出绩效自评表</w:t>
      </w:r>
    </w:p>
    <w:p w14:paraId="44CDB974">
      <w:pPr>
        <w:spacing w:line="480" w:lineRule="exact"/>
        <w:jc w:val="center"/>
        <w:rPr>
          <w:rFonts w:hint="default" w:ascii="Times New Roman Regular" w:hAnsi="Times New Roman Regular" w:eastAsia="仿宋_GB2312" w:cs="Times New Roman Regular"/>
          <w:sz w:val="28"/>
          <w:szCs w:val="28"/>
        </w:rPr>
      </w:pPr>
      <w:r>
        <w:rPr>
          <w:rFonts w:hint="default" w:ascii="Times New Roman Regular" w:hAnsi="Times New Roman Regular" w:eastAsia="仿宋_GB2312" w:cs="Times New Roman Regular"/>
          <w:sz w:val="28"/>
          <w:szCs w:val="28"/>
        </w:rPr>
        <w:t>（2024年度）</w:t>
      </w:r>
    </w:p>
    <w:p w14:paraId="3817E9E8">
      <w:pPr>
        <w:spacing w:line="240" w:lineRule="exact"/>
        <w:rPr>
          <w:rFonts w:hint="default" w:ascii="Times New Roman Regular" w:hAnsi="Times New Roman Regular" w:eastAsia="仿宋_GB2312" w:cs="Times New Roman Regular"/>
          <w:sz w:val="30"/>
          <w:szCs w:val="30"/>
        </w:rPr>
      </w:pPr>
    </w:p>
    <w:tbl>
      <w:tblPr>
        <w:tblStyle w:val="7"/>
        <w:tblW w:w="94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52"/>
        <w:gridCol w:w="1142"/>
        <w:gridCol w:w="196"/>
        <w:gridCol w:w="993"/>
        <w:gridCol w:w="1177"/>
        <w:gridCol w:w="407"/>
        <w:gridCol w:w="664"/>
        <w:gridCol w:w="716"/>
        <w:gridCol w:w="79"/>
        <w:gridCol w:w="947"/>
      </w:tblGrid>
      <w:tr w14:paraId="0F499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BB0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项目名称</w:t>
            </w:r>
          </w:p>
        </w:tc>
        <w:tc>
          <w:tcPr>
            <w:tcW w:w="78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7917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中关村国家知识产权制度示范园区知识产权服务管家</w:t>
            </w:r>
          </w:p>
        </w:tc>
      </w:tr>
      <w:tr w14:paraId="7F748F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5061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主管部门</w:t>
            </w:r>
          </w:p>
        </w:tc>
        <w:tc>
          <w:tcPr>
            <w:tcW w:w="38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216B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北京市知识产权局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9B4B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实施单位</w:t>
            </w:r>
          </w:p>
        </w:tc>
        <w:tc>
          <w:tcPr>
            <w:tcW w:w="28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570F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中关村知识产权促进</w:t>
            </w:r>
          </w:p>
          <w:p w14:paraId="577A888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中心</w:t>
            </w:r>
          </w:p>
        </w:tc>
      </w:tr>
      <w:tr w14:paraId="57A91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CF56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项目资金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（万元）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0F50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8EDC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年初预</w:t>
            </w:r>
          </w:p>
          <w:p w14:paraId="1FC0072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算数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F3F8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全年预</w:t>
            </w:r>
          </w:p>
          <w:p w14:paraId="1E6D874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算数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CE45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全年</w:t>
            </w:r>
          </w:p>
          <w:p w14:paraId="4AE4B84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执行数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218E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分值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28D6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执行率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64EA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得分</w:t>
            </w:r>
          </w:p>
        </w:tc>
      </w:tr>
      <w:tr w14:paraId="13D28C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98AD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BEFE4">
            <w:pPr>
              <w:widowControl/>
              <w:spacing w:line="240" w:lineRule="exac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年度资金总额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4C01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77.60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F43D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77.60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103E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66.6375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16C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10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534C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85.87%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4514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8.59</w:t>
            </w:r>
          </w:p>
        </w:tc>
      </w:tr>
      <w:tr w14:paraId="1472D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2BA6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6F01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其中：</w:t>
            </w:r>
          </w:p>
          <w:p w14:paraId="20E267D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当年财政拨款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A289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2.60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F54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2.60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9B76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1.2375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7A69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C8C1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47.60%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5506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247D89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A97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9284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上年结转资金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C96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D21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47C9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5CBC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8A14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73F0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062AE5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63C8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00E80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 xml:space="preserve">  其他资金</w:t>
            </w:r>
          </w:p>
        </w:tc>
        <w:tc>
          <w:tcPr>
            <w:tcW w:w="11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CDA5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ABE9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75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D906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65.40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1E3B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2E64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87.20%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3C1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—</w:t>
            </w:r>
          </w:p>
        </w:tc>
      </w:tr>
      <w:tr w14:paraId="25041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683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年度总体目标</w:t>
            </w:r>
          </w:p>
        </w:tc>
        <w:tc>
          <w:tcPr>
            <w:tcW w:w="4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2FB2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预期目标</w:t>
            </w:r>
          </w:p>
        </w:tc>
        <w:tc>
          <w:tcPr>
            <w:tcW w:w="39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5234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实际完成情况</w:t>
            </w:r>
          </w:p>
        </w:tc>
      </w:tr>
      <w:tr w14:paraId="69A13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D73A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48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C09AB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通过“知识产权服务管家”模式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加强中关村一区十六园和“三城一区”知识产权工作。委托5家服务机构对5个分园区或“三城一区”重点园区提供知识产权服务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开展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园区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重点产业专利分析，为园区知识产权工作提供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专业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咨询，举办企业知识产权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专题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培训，开展企业走访调研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工作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等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服务中关村发展和推动“两区”建设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。</w:t>
            </w:r>
          </w:p>
          <w:p w14:paraId="7ECE436E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0E2D46B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453FF8A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39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4AFA7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组织5家服务机构为未来科学城等5个重点园区提供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知识产权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咨询、重点产业专利分析、专题培训、一对一企业实地辅导等专项服务。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结合园区实际需求，完成重点产业专利分析报告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5份，从知识产权角度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为园区产业发展规划、企业培育等提供决策参考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组织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专题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培训、沙龙等活动16场，走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进各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园区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累计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52家企业开展帮扶服务，惠及知识产权相关工作人员近600人次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，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有效提升区域知识产权工作的综合能力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  <w:t>。</w:t>
            </w:r>
          </w:p>
        </w:tc>
      </w:tr>
      <w:tr w14:paraId="033C4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1FAA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绩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效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br w:type="textWrapping"/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90AFB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E718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二级指标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E972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D2DF7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年度</w:t>
            </w:r>
          </w:p>
          <w:p w14:paraId="5D679AA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指标值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C69E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实际</w:t>
            </w:r>
          </w:p>
          <w:p w14:paraId="5093994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完成值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ACE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9A78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得分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34D3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偏差原因分</w:t>
            </w:r>
            <w:bookmarkStart w:id="0" w:name="_GoBack"/>
            <w:bookmarkEnd w:id="0"/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析及改进</w:t>
            </w:r>
          </w:p>
          <w:p w14:paraId="6CFC5DA7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措施</w:t>
            </w:r>
          </w:p>
        </w:tc>
      </w:tr>
      <w:tr w14:paraId="51C44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92B9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2E0A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产出</w:t>
            </w:r>
          </w:p>
          <w:p w14:paraId="4C54661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1F4C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数量指标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CA59B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为5家园区提供知识产权服务管家服务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117B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5家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0178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5家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6D1D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4EFA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D669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17265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2753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EFB24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C976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质量指标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D122E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为园区提供因需定制的“一对一”知识产权全方位服务，全力提升园区知识产权综合实力，为中关村和“三城一区”创新发展提供有力支撑。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DA61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8F44AC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F2B38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F333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4694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2CDC0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F0CD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E6A5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F1029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时效指标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9F5D8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2024年12月15日前完成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A0045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≤12个月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D78E9F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2024年12月15日前。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5C6D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BF6A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8D44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3BC18C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D6DB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2819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419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社会效益</w:t>
            </w:r>
          </w:p>
          <w:p w14:paraId="1F315F5F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D82809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通过服务管家项目提高园区知识产权工作水平，从而提高面向园区企业的知识产权服务质量，带动中关村和“三城一区”整体创新发展。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1F319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highlight w:val="yellow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7F611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  <w:lang w:eastAsia="zh-CN"/>
              </w:rPr>
            </w:pPr>
            <w:r>
              <w:rPr>
                <w:rFonts w:hint="eastAsia" w:ascii="Times New Roman Regular" w:hAnsi="Times New Roman Regular" w:eastAsia="仿宋_GB2312" w:cs="Times New Roman Regular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9E3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30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D94B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30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512A16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7E9E7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81222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51AF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满意度</w:t>
            </w:r>
          </w:p>
          <w:p w14:paraId="6CC1255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C041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服务对象满意</w:t>
            </w:r>
            <w:r>
              <w:rPr>
                <w:rFonts w:hint="default" w:ascii="Times New Roman Regular" w:hAnsi="Times New Roman Regular" w:eastAsia="仿宋_GB2312" w:cs="Times New Roman Regular"/>
                <w:color w:val="auto"/>
                <w:kern w:val="0"/>
                <w:szCs w:val="21"/>
              </w:rPr>
              <w:t>度</w:t>
            </w:r>
            <w:r>
              <w:rPr>
                <w:rFonts w:hint="eastAsia" w:ascii="Times New Roman Regular" w:hAnsi="Times New Roman Regular" w:eastAsia="仿宋_GB2312" w:cs="Times New Roman Regular"/>
                <w:color w:val="auto"/>
                <w:kern w:val="0"/>
                <w:szCs w:val="21"/>
                <w:lang w:eastAsia="zh-CN"/>
              </w:rPr>
              <w:t>指</w:t>
            </w: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标</w:t>
            </w:r>
          </w:p>
        </w:tc>
        <w:tc>
          <w:tcPr>
            <w:tcW w:w="17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D8A21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服务对象满意度标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B7B6D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≥90%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C4A5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03C9268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  <w:p w14:paraId="651B1F2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90%</w:t>
            </w:r>
          </w:p>
          <w:p w14:paraId="6E82D073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90B6A">
            <w:pPr>
              <w:widowControl/>
              <w:spacing w:line="240" w:lineRule="exact"/>
              <w:jc w:val="left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ABC5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10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1CBAB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  <w:tr w14:paraId="65F6DE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  <w:jc w:val="center"/>
        </w:trPr>
        <w:tc>
          <w:tcPr>
            <w:tcW w:w="70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A75EA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07A6E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A7471C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color w:val="000000"/>
                <w:kern w:val="0"/>
                <w:szCs w:val="21"/>
              </w:rPr>
            </w:pPr>
            <w:r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  <w:t>98.59</w:t>
            </w:r>
          </w:p>
        </w:tc>
        <w:tc>
          <w:tcPr>
            <w:tcW w:w="9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22200">
            <w:pPr>
              <w:widowControl/>
              <w:spacing w:line="240" w:lineRule="exact"/>
              <w:jc w:val="center"/>
              <w:rPr>
                <w:rFonts w:hint="default" w:ascii="Times New Roman Regular" w:hAnsi="Times New Roman Regular" w:eastAsia="仿宋_GB2312" w:cs="Times New Roman Regular"/>
                <w:kern w:val="0"/>
                <w:szCs w:val="21"/>
              </w:rPr>
            </w:pPr>
          </w:p>
        </w:tc>
      </w:tr>
    </w:tbl>
    <w:p w14:paraId="3B510E1A">
      <w:pPr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</w:p>
    <w:p w14:paraId="03E53986">
      <w:pPr>
        <w:spacing w:line="520" w:lineRule="exact"/>
        <w:ind w:firstLine="640" w:firstLineChars="200"/>
        <w:rPr>
          <w:rFonts w:hint="default" w:ascii="Times New Roman Regular" w:hAnsi="Times New Roman Regular" w:eastAsia="仿宋_GB2312" w:cs="Times New Roman Regular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0A5EA"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186F5"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5186F5"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7902817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05438"/>
    <w:rsid w:val="00022F3C"/>
    <w:rsid w:val="00023480"/>
    <w:rsid w:val="00025C98"/>
    <w:rsid w:val="000925C1"/>
    <w:rsid w:val="00092F7E"/>
    <w:rsid w:val="000B1784"/>
    <w:rsid w:val="00114BA1"/>
    <w:rsid w:val="001450A8"/>
    <w:rsid w:val="0014775B"/>
    <w:rsid w:val="00156807"/>
    <w:rsid w:val="0015772D"/>
    <w:rsid w:val="0018202E"/>
    <w:rsid w:val="001C05DD"/>
    <w:rsid w:val="001C7744"/>
    <w:rsid w:val="0020281E"/>
    <w:rsid w:val="00215848"/>
    <w:rsid w:val="00252298"/>
    <w:rsid w:val="00253562"/>
    <w:rsid w:val="0025378F"/>
    <w:rsid w:val="00283029"/>
    <w:rsid w:val="0029272C"/>
    <w:rsid w:val="002A7FAD"/>
    <w:rsid w:val="002C717F"/>
    <w:rsid w:val="002E3345"/>
    <w:rsid w:val="00323C67"/>
    <w:rsid w:val="00324EF7"/>
    <w:rsid w:val="00360081"/>
    <w:rsid w:val="003A263D"/>
    <w:rsid w:val="003B7DD4"/>
    <w:rsid w:val="003C4943"/>
    <w:rsid w:val="00414016"/>
    <w:rsid w:val="00445FDE"/>
    <w:rsid w:val="00460FB6"/>
    <w:rsid w:val="00466707"/>
    <w:rsid w:val="004B791F"/>
    <w:rsid w:val="004D18EF"/>
    <w:rsid w:val="004F5BF6"/>
    <w:rsid w:val="00502D9F"/>
    <w:rsid w:val="00540AB8"/>
    <w:rsid w:val="005671EA"/>
    <w:rsid w:val="005D12ED"/>
    <w:rsid w:val="005E440E"/>
    <w:rsid w:val="006B2380"/>
    <w:rsid w:val="006C3932"/>
    <w:rsid w:val="00706914"/>
    <w:rsid w:val="00721A81"/>
    <w:rsid w:val="007413A7"/>
    <w:rsid w:val="00796896"/>
    <w:rsid w:val="00804FE2"/>
    <w:rsid w:val="00810201"/>
    <w:rsid w:val="00814E97"/>
    <w:rsid w:val="00843F7B"/>
    <w:rsid w:val="008A102B"/>
    <w:rsid w:val="008D21F2"/>
    <w:rsid w:val="008F7AC0"/>
    <w:rsid w:val="009409B5"/>
    <w:rsid w:val="00961444"/>
    <w:rsid w:val="00976382"/>
    <w:rsid w:val="0099494C"/>
    <w:rsid w:val="00995415"/>
    <w:rsid w:val="009976BF"/>
    <w:rsid w:val="009B1E31"/>
    <w:rsid w:val="009D24EE"/>
    <w:rsid w:val="00A37FB0"/>
    <w:rsid w:val="00A4218F"/>
    <w:rsid w:val="00A4659C"/>
    <w:rsid w:val="00A47DF9"/>
    <w:rsid w:val="00A745D2"/>
    <w:rsid w:val="00A9662D"/>
    <w:rsid w:val="00A97EF4"/>
    <w:rsid w:val="00AF1302"/>
    <w:rsid w:val="00B3245A"/>
    <w:rsid w:val="00BA40D5"/>
    <w:rsid w:val="00C34A45"/>
    <w:rsid w:val="00C81CB7"/>
    <w:rsid w:val="00CE441C"/>
    <w:rsid w:val="00D234DB"/>
    <w:rsid w:val="00D637CD"/>
    <w:rsid w:val="00D67D03"/>
    <w:rsid w:val="00DE3B97"/>
    <w:rsid w:val="00E11A05"/>
    <w:rsid w:val="00E12C2E"/>
    <w:rsid w:val="00E906BD"/>
    <w:rsid w:val="00EB29CC"/>
    <w:rsid w:val="00EB4E50"/>
    <w:rsid w:val="00ED3354"/>
    <w:rsid w:val="00EE4A68"/>
    <w:rsid w:val="00F5356A"/>
    <w:rsid w:val="00F86040"/>
    <w:rsid w:val="00F94B36"/>
    <w:rsid w:val="00FD30CB"/>
    <w:rsid w:val="02B7349E"/>
    <w:rsid w:val="07320597"/>
    <w:rsid w:val="07B94FD6"/>
    <w:rsid w:val="09AB4631"/>
    <w:rsid w:val="0B4E7969"/>
    <w:rsid w:val="0C6A104F"/>
    <w:rsid w:val="0EF10D38"/>
    <w:rsid w:val="14776FC5"/>
    <w:rsid w:val="19810F0A"/>
    <w:rsid w:val="1DAB00B4"/>
    <w:rsid w:val="1EDC7743"/>
    <w:rsid w:val="214747E7"/>
    <w:rsid w:val="21D36BE0"/>
    <w:rsid w:val="25AE6A39"/>
    <w:rsid w:val="28E85621"/>
    <w:rsid w:val="29AC439A"/>
    <w:rsid w:val="2ADE14D6"/>
    <w:rsid w:val="2E2958EA"/>
    <w:rsid w:val="2F7F624A"/>
    <w:rsid w:val="30551C42"/>
    <w:rsid w:val="312406A1"/>
    <w:rsid w:val="32EE1883"/>
    <w:rsid w:val="37173543"/>
    <w:rsid w:val="3AD60C5E"/>
    <w:rsid w:val="3D8726E3"/>
    <w:rsid w:val="3F27473F"/>
    <w:rsid w:val="3FBFCD99"/>
    <w:rsid w:val="3FF76880"/>
    <w:rsid w:val="41BF4B63"/>
    <w:rsid w:val="4D0066AF"/>
    <w:rsid w:val="4FC84F2F"/>
    <w:rsid w:val="500F2DC6"/>
    <w:rsid w:val="50E31BDE"/>
    <w:rsid w:val="540268DB"/>
    <w:rsid w:val="541128AF"/>
    <w:rsid w:val="563A60ED"/>
    <w:rsid w:val="5974422C"/>
    <w:rsid w:val="59FB6D28"/>
    <w:rsid w:val="5A46176C"/>
    <w:rsid w:val="5AE825BC"/>
    <w:rsid w:val="606E458D"/>
    <w:rsid w:val="66372649"/>
    <w:rsid w:val="69AD0169"/>
    <w:rsid w:val="69CB702C"/>
    <w:rsid w:val="6F8A78AA"/>
    <w:rsid w:val="6FC018AC"/>
    <w:rsid w:val="75CD4430"/>
    <w:rsid w:val="766A0B10"/>
    <w:rsid w:val="777D8F66"/>
    <w:rsid w:val="7AB7FF50"/>
    <w:rsid w:val="7BBA4E35"/>
    <w:rsid w:val="7BFEB0DB"/>
    <w:rsid w:val="7F5D209D"/>
    <w:rsid w:val="7F9B608E"/>
    <w:rsid w:val="BBF5B3D2"/>
    <w:rsid w:val="CEFD3F3D"/>
    <w:rsid w:val="E3DE37CA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1">
    <w:name w:val="批注框文本 字符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758</Words>
  <Characters>848</Characters>
  <Lines>11</Lines>
  <Paragraphs>3</Paragraphs>
  <TotalTime>2</TotalTime>
  <ScaleCrop>false</ScaleCrop>
  <LinksUpToDate>false</LinksUpToDate>
  <CharactersWithSpaces>850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WPS_1662604729</cp:lastModifiedBy>
  <cp:lastPrinted>2025-08-22T02:02:00Z</cp:lastPrinted>
  <dcterms:modified xsi:type="dcterms:W3CDTF">2025-08-26T09:47:37Z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eyJoZGlkIjoiZjVjMDk4MGRlODJlODQ0MmViNmUwMTc4YTBhNDU3OTMiLCJ1c2VySWQiOiIxNDExNjA4NTMzIn0=</vt:lpwstr>
  </property>
  <property fmtid="{D5CDD505-2E9C-101B-9397-08002B2CF9AE}" pid="4" name="ICV">
    <vt:lpwstr>D1EDE7E944524487936C4D4ABBA07994_13</vt:lpwstr>
  </property>
</Properties>
</file>