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0"/>
        <w:gridCol w:w="729"/>
        <w:gridCol w:w="1328"/>
        <w:gridCol w:w="1127"/>
        <w:gridCol w:w="149"/>
        <w:gridCol w:w="983"/>
        <w:gridCol w:w="945"/>
        <w:gridCol w:w="182"/>
        <w:gridCol w:w="397"/>
        <w:gridCol w:w="307"/>
        <w:gridCol w:w="525"/>
        <w:gridCol w:w="321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52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知识产权快速协同保护机制体系建设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北京市知识产权保护中心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黄显智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62544288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33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3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267.4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267.4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257.395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96.26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33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267.4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267.4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257.395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96.26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33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33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1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围绕新一代信息技术和高端装备制造等领域的企事业单位，开展专利预审、快速维权、专利导航、专利缴费、分中心建设等综合服务工作。通过购置专利检索数据库、专利辅助审查工具、专利预审领域分类支撑、人员能力提升，提升专利预审服务效率；通过开展专利、商标侵权判定咨询、维权援助咨询服务，提升企事业单位知识产权保护水平；通过开展专利导航建设、可视化展示，推动专利导航对产业和企业知识产权工作的支撑；开展缴费信息数据分析处理工作，对款项信息和补充缴费等信息进行分类、分析比对，对专利缴费工作进行质量监控，核对缴费信息，保证业务质量；通过开展分中心工作，为分中心为区域产业发展提供服务支撑。</w:t>
            </w:r>
          </w:p>
        </w:tc>
        <w:tc>
          <w:tcPr>
            <w:tcW w:w="421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完成专利检索数据库和专利辅助审查工具的购买，开展专利预审领域分类支撑工作，并派员参加专利预审上岗培训，提升人员预审能力。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分中心布局分析工作，形成分中心布局分析报告；完成分中心服务促进区域产业发展，形成了先进医疗设备及器械制造、智能传感器、第三代半导体、固态储氢、航天火箭装备制造五个领域专利导航分析报告，并提供“一对一”知识产权综合服务和业务培训。完成专利、商标侵权判定咨询工作，出具侵权判定咨询意见；根据公众及创新主体的国内维权援助需求，组织专家提供维权援助服务。通过开展专利导航建设、可视化展示，推动专利导航对产业和企业知识产权工作的支撑，完成导航项目3个，完成率和合格率100%；完成维护可视化平台1个，数据更新和维护及时率90%，达到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快速维权：专利、商标纠纷提供侵权判定咨询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≥240条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250条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专利预审：购买专利检索数据库账号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23个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23个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专利预审：购买专利辅助审查工具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47个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47个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专利预审：专利预审案件的分类支撑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4000件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4000件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专利预审：专利预审培训人员数量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2人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1人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1.5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偏差原因：2023年4月派1人参加专利预审业务上岗培训，培训费用支付2.915万元，因剩余费用1.885万元不足以支付另1人培训费，2023年9月派员参加培训的费用从通用经费列支，未从该项目中列支。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在预算编制中，将充分考虑培训费用可能出现的上涨等因素，合理测算培训费用标准，精准地编制预算。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分中心工作相关研究报告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2个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2个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专利导航：导航项目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3个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3个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可视化平台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1个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1个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缴费信息数据分析处理：对全年业务数据进行质量监控，核对缴费信息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≥6万条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10.7048万条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缴费信息数据分析处理：完成缴费信息进行数据预处理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≥2万条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8.575万条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1.6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保护中心积极落实国知局属地化服务要求，积极引导缴费人通过银行汇款方式向我单位缴费，优化缴费信息匹配的效率和质量，缴费人选择向我单位缴费，缴费业务量大幅增长；对年度指标值预估较为保守。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参考上年度缴费业务量科学测算年度指标值。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快速维权：专利、商标侵权判定咨询报告合格率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专利预审：辅助审查工具使用率、检索库使用率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专利预审：专利申请预审案件分类准确度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专利预审：人员培训通过率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分中心工作相关报告合格率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专利导航：导航项目报告合格率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可视化平台：平台数据更新和维护及时率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缴费信息数据处理：缴费信息数据处理正确率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快速维权项目完成率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专利预审分类支撑工作完成率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分中心服务促进产业发展项目完成率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专利导航项目完成率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缴费信息工作完成率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快速维权工作助力创新主体知识产权保护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良好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良好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专利预审缩短高质量专利申请审查周期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≥70%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86%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分中心知识产权服务年度覆盖面提升率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50%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提升缴费工作准确度，为创新主体提供更加便捷优化的缴费服务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良好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良好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引导创新主体做好专利布局，支撑我市“高精尖”产业创新发展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良好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良好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7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已提供服务单位的满意度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≥90%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97.84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8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97.73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Text Box 2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84hJ9EAAAADAQAADwAAAAAAAAABACAAAAAiAAAAZHJzL2Rvd25yZXYueG1sUEsBAhQA&#10;FAAAAAgAh07iQIGEoEf5AQAAAQQAAA4AAAAAAAAAAQAgAAAAIAEAAGRycy9lMm9Eb2MueG1sUEsF&#10;BgAAAAAGAAYAWQEAAI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1674E"/>
    <w:rsid w:val="000D30D5"/>
    <w:rsid w:val="00120C28"/>
    <w:rsid w:val="001967F9"/>
    <w:rsid w:val="001A3619"/>
    <w:rsid w:val="001F75E6"/>
    <w:rsid w:val="0061035C"/>
    <w:rsid w:val="006126FB"/>
    <w:rsid w:val="006C1151"/>
    <w:rsid w:val="007244C4"/>
    <w:rsid w:val="00916909"/>
    <w:rsid w:val="0098667C"/>
    <w:rsid w:val="009F0795"/>
    <w:rsid w:val="00AE3A5F"/>
    <w:rsid w:val="00BE2487"/>
    <w:rsid w:val="00BE2E9D"/>
    <w:rsid w:val="00BF1018"/>
    <w:rsid w:val="00C6268F"/>
    <w:rsid w:val="00C90EAE"/>
    <w:rsid w:val="00CB0E24"/>
    <w:rsid w:val="00D003A5"/>
    <w:rsid w:val="00D1304A"/>
    <w:rsid w:val="00EE2CE1"/>
    <w:rsid w:val="00F03708"/>
    <w:rsid w:val="02D70DF0"/>
    <w:rsid w:val="062A4F87"/>
    <w:rsid w:val="079E5C2C"/>
    <w:rsid w:val="159B5ACF"/>
    <w:rsid w:val="18D154BE"/>
    <w:rsid w:val="1CEC2B3E"/>
    <w:rsid w:val="2AA66A22"/>
    <w:rsid w:val="36E02338"/>
    <w:rsid w:val="37173543"/>
    <w:rsid w:val="3FF76880"/>
    <w:rsid w:val="50BC3FFA"/>
    <w:rsid w:val="59F42A57"/>
    <w:rsid w:val="5B90055D"/>
    <w:rsid w:val="5D301FF8"/>
    <w:rsid w:val="67AA29A7"/>
    <w:rsid w:val="67AC4971"/>
    <w:rsid w:val="6C45515A"/>
    <w:rsid w:val="6E2434B3"/>
    <w:rsid w:val="6F1F3C7A"/>
    <w:rsid w:val="705E0D41"/>
    <w:rsid w:val="70875F7B"/>
    <w:rsid w:val="777D8F66"/>
    <w:rsid w:val="79985DDC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semiHidden/>
    <w:unhideWhenUsed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Char"/>
    <w:basedOn w:val="8"/>
    <w:link w:val="4"/>
    <w:semiHidden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4</Pages>
  <Words>1743</Words>
  <Characters>1934</Characters>
  <Lines>17</Lines>
  <Paragraphs>4</Paragraphs>
  <TotalTime>9</TotalTime>
  <ScaleCrop>false</ScaleCrop>
  <LinksUpToDate>false</LinksUpToDate>
  <CharactersWithSpaces>1966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2024-04-17T08:05:00Z</dcterms:created>
  <dc:creator>user</dc:creator>
  <cp:lastModifiedBy>:D</cp:lastModifiedBy>
  <cp:lastPrinted>2022-03-25T18:01:00Z</cp:lastPrinted>
  <dcterms:modified xsi:type="dcterms:W3CDTF">2024-06-07T07:03:07Z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BA2795285C2A481291C6A8A9F01811DE_12</vt:lpwstr>
  </property>
</Properties>
</file>