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F92" w:rsidRPr="00073470" w:rsidRDefault="003E2D46" w:rsidP="00073470">
      <w:pPr>
        <w:widowControl w:val="0"/>
        <w:spacing w:line="480" w:lineRule="exact"/>
        <w:jc w:val="center"/>
        <w:textAlignment w:val="auto"/>
        <w:rPr>
          <w:rFonts w:ascii="方正小标宋简体" w:eastAsia="方正小标宋简体" w:hAnsi="黑体" w:cs="Times New Roman"/>
          <w:color w:val="auto"/>
          <w:kern w:val="2"/>
          <w:sz w:val="36"/>
          <w:szCs w:val="36"/>
        </w:rPr>
      </w:pPr>
      <w:r w:rsidRPr="00073470">
        <w:rPr>
          <w:rFonts w:ascii="方正小标宋简体" w:eastAsia="方正小标宋简体" w:hAnsi="黑体" w:cs="Times New Roman" w:hint="eastAsia"/>
          <w:color w:val="auto"/>
          <w:kern w:val="2"/>
          <w:sz w:val="36"/>
          <w:szCs w:val="36"/>
        </w:rPr>
        <w:t>项目支出绩效自评表</w:t>
      </w:r>
    </w:p>
    <w:p w:rsidR="007F0F92" w:rsidRPr="00177F4D" w:rsidRDefault="003E2D46" w:rsidP="00177F4D">
      <w:pPr>
        <w:widowControl w:val="0"/>
        <w:spacing w:line="480" w:lineRule="exact"/>
        <w:jc w:val="center"/>
        <w:textAlignment w:val="auto"/>
        <w:rPr>
          <w:rFonts w:ascii="方正小标宋简体" w:eastAsia="方正小标宋简体" w:hAnsi="黑体" w:cs="Times New Roman"/>
          <w:color w:val="auto"/>
          <w:kern w:val="2"/>
          <w:sz w:val="28"/>
          <w:szCs w:val="28"/>
        </w:rPr>
      </w:pPr>
      <w:r w:rsidRPr="00177F4D">
        <w:rPr>
          <w:rFonts w:ascii="方正小标宋简体" w:eastAsia="方正小标宋简体" w:hAnsi="黑体" w:cs="Times New Roman" w:hint="eastAsia"/>
          <w:color w:val="auto"/>
          <w:kern w:val="2"/>
          <w:sz w:val="28"/>
          <w:szCs w:val="28"/>
        </w:rPr>
        <w:t>（2023年度）</w:t>
      </w:r>
    </w:p>
    <w:p w:rsidR="007F0F92" w:rsidRDefault="007F0F92" w:rsidP="00910CCD"/>
    <w:tbl>
      <w:tblPr>
        <w:tblW w:w="10478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1151"/>
        <w:gridCol w:w="1094"/>
        <w:gridCol w:w="560"/>
        <w:gridCol w:w="1300"/>
        <w:gridCol w:w="80"/>
        <w:gridCol w:w="1371"/>
        <w:gridCol w:w="977"/>
        <w:gridCol w:w="770"/>
        <w:gridCol w:w="645"/>
        <w:gridCol w:w="489"/>
        <w:gridCol w:w="287"/>
        <w:gridCol w:w="1170"/>
      </w:tblGrid>
      <w:tr w:rsidR="007F0F92" w:rsidTr="00536D45">
        <w:trPr>
          <w:trHeight w:hRule="exact" w:val="306"/>
          <w:jc w:val="center"/>
        </w:trPr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项目名称</w:t>
            </w:r>
          </w:p>
        </w:tc>
        <w:tc>
          <w:tcPr>
            <w:tcW w:w="87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2023年保护中心机构保障运维</w:t>
            </w:r>
          </w:p>
        </w:tc>
      </w:tr>
      <w:tr w:rsidR="007F0F92" w:rsidTr="00536D45">
        <w:trPr>
          <w:trHeight w:hRule="exact" w:val="611"/>
          <w:jc w:val="center"/>
        </w:trPr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主管部门</w:t>
            </w: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北京市知</w:t>
            </w:r>
            <w:bookmarkStart w:id="0" w:name="_GoBack"/>
            <w:bookmarkEnd w:id="0"/>
            <w:r>
              <w:rPr>
                <w:rFonts w:hint="eastAsia"/>
              </w:rPr>
              <w:t>识产权局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实施单位</w:t>
            </w:r>
          </w:p>
        </w:tc>
        <w:tc>
          <w:tcPr>
            <w:tcW w:w="3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北京市知识产权保护中心</w:t>
            </w:r>
          </w:p>
        </w:tc>
      </w:tr>
      <w:tr w:rsidR="007F0F92" w:rsidTr="00536D45">
        <w:trPr>
          <w:trHeight w:hRule="exact" w:val="551"/>
          <w:jc w:val="center"/>
        </w:trPr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项目负责人</w:t>
            </w: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黄显智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联系</w:t>
            </w:r>
          </w:p>
          <w:p w:rsidR="007F0F92" w:rsidRDefault="003E2D46" w:rsidP="00910CCD">
            <w:r>
              <w:rPr>
                <w:rFonts w:hint="eastAsia"/>
              </w:rPr>
              <w:t>电话</w:t>
            </w:r>
          </w:p>
        </w:tc>
        <w:tc>
          <w:tcPr>
            <w:tcW w:w="3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62544288</w:t>
            </w:r>
          </w:p>
        </w:tc>
      </w:tr>
      <w:tr w:rsidR="007F0F92" w:rsidTr="00536D45">
        <w:trPr>
          <w:trHeight w:hRule="exact" w:val="567"/>
          <w:jc w:val="center"/>
        </w:trPr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项目资金</w:t>
            </w:r>
            <w:r>
              <w:rPr>
                <w:rFonts w:hint="eastAsia"/>
              </w:rPr>
              <w:br/>
              <w:t>（万元）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年初预算数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全年预算数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全年执行数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执行率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得分</w:t>
            </w:r>
          </w:p>
        </w:tc>
      </w:tr>
      <w:tr w:rsidR="007F0F92" w:rsidTr="00536D45">
        <w:trPr>
          <w:trHeight w:hRule="exact" w:val="306"/>
          <w:jc w:val="center"/>
        </w:trPr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年度资金总额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161.7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161.7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148.45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91.81%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9.18</w:t>
            </w:r>
          </w:p>
        </w:tc>
      </w:tr>
      <w:tr w:rsidR="007F0F92" w:rsidTr="00536D45">
        <w:trPr>
          <w:trHeight w:hRule="exact" w:val="601"/>
          <w:jc w:val="center"/>
        </w:trPr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其中：当年财政</w:t>
            </w:r>
          </w:p>
          <w:p w:rsidR="007F0F92" w:rsidRDefault="003E2D46" w:rsidP="00910CCD">
            <w:r>
              <w:rPr>
                <w:rFonts w:hint="eastAsia"/>
              </w:rPr>
              <w:t>拨款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161.7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161.7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148.45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BC1E68" w:rsidP="00910CCD">
            <w:r>
              <w:rPr>
                <w:rFonts w:hint="eastAsia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91.81%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BC1E68" w:rsidP="00910CCD">
            <w:r>
              <w:rPr>
                <w:rFonts w:hint="eastAsia"/>
              </w:rPr>
              <w:t>—</w:t>
            </w:r>
          </w:p>
        </w:tc>
      </w:tr>
      <w:tr w:rsidR="007F0F92" w:rsidTr="00536D45">
        <w:trPr>
          <w:trHeight w:hRule="exact" w:val="567"/>
          <w:jc w:val="center"/>
        </w:trPr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BC1E68">
            <w:r>
              <w:rPr>
                <w:rFonts w:hint="eastAsia"/>
              </w:rPr>
              <w:t xml:space="preserve"> 上年结转资金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—</w:t>
            </w:r>
          </w:p>
        </w:tc>
      </w:tr>
      <w:tr w:rsidR="007F0F92" w:rsidTr="00536D45">
        <w:trPr>
          <w:trHeight w:hRule="exact" w:val="306"/>
          <w:jc w:val="center"/>
        </w:trPr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—</w:t>
            </w:r>
          </w:p>
        </w:tc>
      </w:tr>
      <w:tr w:rsidR="007F0F92" w:rsidTr="00536D45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年度总体目标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预期目标</w:t>
            </w: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实际完成情况</w:t>
            </w:r>
          </w:p>
        </w:tc>
      </w:tr>
      <w:tr w:rsidR="007F0F92" w:rsidTr="00536D45">
        <w:trPr>
          <w:trHeight w:hRule="exact" w:val="1777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5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按合同内容支付保护中心2023年网络专线费、商业密码安全测评费、网络运维保障费、保护中心信息平台运维费及资助金系统运维费。确保互联网通信传输畅通、确保保护中心预审业务、受理业务、资助金业务等正常对接。</w:t>
            </w:r>
          </w:p>
        </w:tc>
        <w:tc>
          <w:tcPr>
            <w:tcW w:w="4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按合同内容支付保护中心2023年网络专线费、商业密码安全测评费、网络运维保障费、保护中心信息平台运维费及资助金系统运维费。确保互联网通信传输畅通、确保保护中心预审业务、受理业务、资助金业务等正常对接。</w:t>
            </w:r>
          </w:p>
        </w:tc>
      </w:tr>
      <w:tr w:rsidR="007F0F92" w:rsidTr="00536D45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/>
              <w:t>效</w:t>
            </w:r>
            <w:r>
              <w:rPr>
                <w:rFonts w:hint="eastAsia"/>
              </w:rPr>
              <w:br/>
              <w:t>指</w:t>
            </w:r>
            <w:r>
              <w:rPr>
                <w:rFonts w:hint="eastAsia"/>
              </w:rPr>
              <w:br/>
              <w:t>标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一级指标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二级指标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三级指标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年度</w:t>
            </w:r>
          </w:p>
          <w:p w:rsidR="007F0F92" w:rsidRDefault="003E2D46" w:rsidP="00910CCD">
            <w:r>
              <w:rPr>
                <w:rFonts w:hint="eastAsia"/>
              </w:rPr>
              <w:t>指标值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实际</w:t>
            </w:r>
          </w:p>
          <w:p w:rsidR="007F0F92" w:rsidRDefault="003E2D46" w:rsidP="00910CCD">
            <w:r>
              <w:rPr>
                <w:rFonts w:hint="eastAsia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分值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得分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偏差原因分析及改进</w:t>
            </w:r>
          </w:p>
          <w:p w:rsidR="007F0F92" w:rsidRDefault="003E2D46" w:rsidP="00910CCD">
            <w:r>
              <w:rPr>
                <w:rFonts w:hint="eastAsia"/>
              </w:rPr>
              <w:t>措施</w:t>
            </w:r>
          </w:p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产出指标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系统验收合格率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≥100%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100%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软件维护故障次数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≤12次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12次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数量指标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硬件维护数量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≥100个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100个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硬件维护故障次数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≤12次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12次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系统正常运行率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≥95%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95%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时效指标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故障应急响应时间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≤30分钟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30分钟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终端无故障运行率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≥98%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98%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数据差错率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≤1%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时效指标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故障修复时间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≤2小时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2小时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系统故障修复率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≥99%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99%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数量指标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应用系统维护数量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≥3个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3个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4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910CCD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/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数量指标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软件维护数量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≥10个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0CCD" w:rsidRPr="00910CCD" w:rsidRDefault="00910CCD" w:rsidP="00910CCD">
            <w:r w:rsidRPr="00910CCD">
              <w:rPr>
                <w:rFonts w:hint="eastAsia"/>
              </w:rPr>
              <w:t>10个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Pr="00910CCD" w:rsidRDefault="00910CCD" w:rsidP="00910CCD">
            <w:r w:rsidRPr="00910CCD">
              <w:rPr>
                <w:rFonts w:hint="eastAsia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0CCD" w:rsidRDefault="00910CCD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效益指标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社会效益指标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系统利用率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≥98%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98%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621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效益指标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可持续影响指标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系统、设备未来持续使用年限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≥1年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1年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效益指标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社会效益指标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硬件使用率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≥98%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98%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效益指标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社会效益指标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数据共享率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≥50%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50%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满意度指标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服务对象满意度指标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使用人员满意度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≥98%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98%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4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经济成本指标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应用系统维护成本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≤135.25万元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135.25万元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pPr>
              <w:rPr>
                <w:rFonts w:ascii="仿宋_GB2312" w:eastAsia="仿宋_GB2312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经济成本指标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硬件维护成本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≤18.45万元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18.45万元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经济成本指标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数据维护成本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≤29万元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29万元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经济成本指标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年度维护成本变化率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≤5%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5%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306"/>
          <w:jc w:val="center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经济成本指标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软件维护成本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≤2万元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92" w:rsidRPr="00910CCD" w:rsidRDefault="003E2D46" w:rsidP="00910CCD">
            <w:r w:rsidRPr="00910CCD">
              <w:rPr>
                <w:rFonts w:hint="eastAsia"/>
              </w:rPr>
              <w:t>2万元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Pr="00910CCD" w:rsidRDefault="003E2D46" w:rsidP="00910CCD">
            <w:r w:rsidRPr="00910CCD">
              <w:rPr>
                <w:rFonts w:hint="eastAsia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  <w:tr w:rsidR="007F0F92" w:rsidTr="00536D45">
        <w:trPr>
          <w:trHeight w:hRule="exact" w:val="477"/>
          <w:jc w:val="center"/>
        </w:trPr>
        <w:tc>
          <w:tcPr>
            <w:tcW w:w="7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3E2D46" w:rsidP="00910CCD">
            <w:r>
              <w:rPr>
                <w:rFonts w:hint="eastAsia"/>
              </w:rPr>
              <w:t>99.18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92" w:rsidRDefault="007F0F92" w:rsidP="00910CCD"/>
        </w:tc>
      </w:tr>
    </w:tbl>
    <w:p w:rsidR="007F0F92" w:rsidRDefault="007F0F92" w:rsidP="00910CCD"/>
    <w:p w:rsidR="007F0F92" w:rsidRDefault="007F0F92" w:rsidP="00910CCD"/>
    <w:sectPr w:rsidR="007F0F92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6E0" w:rsidRDefault="000126E0" w:rsidP="00910CCD">
      <w:r>
        <w:separator/>
      </w:r>
    </w:p>
  </w:endnote>
  <w:endnote w:type="continuationSeparator" w:id="0">
    <w:p w:rsidR="000126E0" w:rsidRDefault="000126E0" w:rsidP="0091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F92" w:rsidRDefault="000126E0" w:rsidP="00910CCD">
    <w:pPr>
      <w:pStyle w:val="a3"/>
      <w:rPr>
        <w:rFonts w:ascii="宋体" w:hAnsi="宋体"/>
        <w:szCs w:val="2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2.4pt;margin-top:0;width:2in;height:2in;z-index:251659264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next-textbox:#_x0000_s2050;mso-fit-shape-to-text:t" inset="0,0,0,0">
            <w:txbxContent>
              <w:p w:rsidR="007F0F92" w:rsidRDefault="003E2D46" w:rsidP="00910CCD">
                <w:pPr>
                  <w:pStyle w:val="a3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177F4D" w:rsidRPr="00177F4D">
                  <w:rPr>
                    <w:noProof/>
                    <w:lang w:val="zh-CN"/>
                  </w:rPr>
                  <w:t>-</w:t>
                </w:r>
                <w:r w:rsidR="00177F4D">
                  <w:rPr>
                    <w:noProof/>
                  </w:rPr>
                  <w:t xml:space="preserve">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7F0F92" w:rsidRDefault="007F0F92" w:rsidP="00910CC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6E0" w:rsidRDefault="000126E0" w:rsidP="00910CCD">
      <w:r>
        <w:separator/>
      </w:r>
    </w:p>
  </w:footnote>
  <w:footnote w:type="continuationSeparator" w:id="0">
    <w:p w:rsidR="000126E0" w:rsidRDefault="000126E0" w:rsidP="00910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yMmI0NTNlZWQyYWY3Yjk4MmIwOTEyZDUyYjVhNGI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126E0"/>
    <w:rsid w:val="00073470"/>
    <w:rsid w:val="00177F4D"/>
    <w:rsid w:val="003E2D46"/>
    <w:rsid w:val="004C62C1"/>
    <w:rsid w:val="005064BB"/>
    <w:rsid w:val="00536D45"/>
    <w:rsid w:val="0065371C"/>
    <w:rsid w:val="006A1224"/>
    <w:rsid w:val="00757E85"/>
    <w:rsid w:val="007F0F92"/>
    <w:rsid w:val="00845DF6"/>
    <w:rsid w:val="008E0B7B"/>
    <w:rsid w:val="00905959"/>
    <w:rsid w:val="00910CCD"/>
    <w:rsid w:val="00BC1E68"/>
    <w:rsid w:val="00C51B52"/>
    <w:rsid w:val="00D00B46"/>
    <w:rsid w:val="00DB5A04"/>
    <w:rsid w:val="00F8342B"/>
    <w:rsid w:val="04855E50"/>
    <w:rsid w:val="075516A6"/>
    <w:rsid w:val="1B8B6070"/>
    <w:rsid w:val="26AF1435"/>
    <w:rsid w:val="2A222A64"/>
    <w:rsid w:val="33FB25C6"/>
    <w:rsid w:val="37173543"/>
    <w:rsid w:val="3FF76880"/>
    <w:rsid w:val="48F071BE"/>
    <w:rsid w:val="4A0B0C00"/>
    <w:rsid w:val="4C4B0D80"/>
    <w:rsid w:val="51516E38"/>
    <w:rsid w:val="57043333"/>
    <w:rsid w:val="777D8F66"/>
    <w:rsid w:val="7AB7FF50"/>
    <w:rsid w:val="7AF5106A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266C75AE-1E6E-4DD0-8F0D-89315028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10CCD"/>
    <w:pPr>
      <w:textAlignment w:val="center"/>
    </w:pPr>
    <w:rPr>
      <w:rFonts w:ascii="仿宋" w:eastAsia="仿宋" w:hAnsi="仿宋" w:cs="宋体"/>
      <w:color w:val="000000"/>
      <w:sz w:val="21"/>
      <w:szCs w:val="21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Balloon Text"/>
    <w:basedOn w:val="a"/>
    <w:link w:val="a6"/>
    <w:rsid w:val="00536D45"/>
    <w:rPr>
      <w:sz w:val="18"/>
      <w:szCs w:val="18"/>
    </w:rPr>
  </w:style>
  <w:style w:type="character" w:customStyle="1" w:styleId="a6">
    <w:name w:val="批注框文本 字符"/>
    <w:basedOn w:val="a0"/>
    <w:link w:val="a5"/>
    <w:rsid w:val="00536D45"/>
    <w:rPr>
      <w:rFonts w:ascii="仿宋" w:eastAsia="仿宋" w:hAnsi="仿宋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196</Words>
  <Characters>1118</Characters>
  <Application>Microsoft Office Word</Application>
  <DocSecurity>0</DocSecurity>
  <Lines>9</Lines>
  <Paragraphs>2</Paragraphs>
  <ScaleCrop>false</ScaleCrop>
  <Company>ICOS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2024-04-25T01:55:00Z</cp:lastPrinted>
  <dcterms:created xsi:type="dcterms:W3CDTF">2022-03-11T11:16:00Z</dcterms:created>
  <dcterms:modified xsi:type="dcterms:W3CDTF">2024-08-12T07:01:00Z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D1E512906DC3460894B08542B34ED66C_13</vt:lpwstr>
  </property>
</Properties>
</file>