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8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3"/>
        <w:gridCol w:w="704"/>
        <w:gridCol w:w="1310"/>
        <w:gridCol w:w="1127"/>
        <w:gridCol w:w="38"/>
        <w:gridCol w:w="1094"/>
        <w:gridCol w:w="1127"/>
        <w:gridCol w:w="361"/>
        <w:gridCol w:w="525"/>
        <w:gridCol w:w="107"/>
        <w:gridCol w:w="675"/>
        <w:gridCol w:w="225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4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海外知识产权纠纷应对指导项目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温寒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010-55536400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3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690.26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611.80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88.63%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690.26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611.80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88.63%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充分发挥我市“五位一体”海外知识产权维权综合服务体系作用，做好我市创新主体在海外知识产权维权的“服务器”、海外知识产权规则的“扩音器”和创新主体海外知识产权保护能力提升的“助推器”，为创新主体提升海外知识产权风险防范和纠纷应对能力提供支撑。</w:t>
            </w:r>
          </w:p>
        </w:tc>
        <w:tc>
          <w:tcPr>
            <w:tcW w:w="4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充分发挥我市“五位一体”海外知识产权维权综合服务体系作用，为企业在海外的知识产权纠纷应对提供咨询指导289件，其中对7项重大纠纷依申请提供资金扶持，5项已取得积极成效，为13件纠纷提供专家咨询指导，有效服务企业在海外维护合法权益。北京市海外知识产权公共服务信息库新增数字经济产业分类，实现按国别检索全库数据服务，新增10000件海外诉讼信息、关联5592件专利信息、对9651条海外诉讼数据进行更新，新增20篇RCEP及“一带一路”沿线国家判决原文、51篇典型案例，新增我市涉外知识产权服务机构与律师信息155条；信息库保持系统稳定运行，累计注册用户1343个，提供信息服务2.19万次。积极关注企业海外知识产权维权能力提升，监测到海外知识产权纠纷线索136条，并提出应对建议；协助8家重点企业建立海外知识产权保护体系；编写海外维权专题文章10篇、海外维权指南3篇、重点海外制度分析导读4篇；举办48课时的涉外企业海外知识产权纠纷应对能力提升培训和11次涉外知识产权典型问题研讨活动。面向80家外向型企业开展海外维权现状和需求调研并形成分析报告，创新主体海外风险防范和纠纷应对能力有效提升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rPr>
          <w:trHeight w:val="72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指标1：海外知识产权维权援助项目数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≥4个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7个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指标2：咨询指导服务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≥10件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13件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指标3：海外知识产权公共服务信息产品新增与更新数量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≥10000件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10000件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指标4：海外知识产权公共服务信息库“一带一路”国家判决原文数量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≥20篇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20篇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指标5：海外重点领域案件数量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≥50篇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51篇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指标6：海外制度调整和纠纷线索整理次数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＝12个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12个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指标7：重点场景海外知识产权维权指南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≥2个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3个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指标8：重点联系企业定向服务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≥8个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8个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指标9：海外维权培训研讨次数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≥10次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11次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指标10：海外维权需求和满意度报告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＝1篇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1篇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指标1：海外维权援助项目典型性强，形成的援助成果可复制推广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优良。7个海外知识产权维权援助项目涉及典型问题，形成20项可复制的成果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指标2：涉外知识产权咨询指导服务专家具有一定经验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优良。邀请的专家具有同类型纠纷处理经验。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0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指标3：海外重点领域案件知识产权类型和涉及国家比例均衡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优良。涉及多个知识产权类型，比例均衡；涉及美国、欧盟等12个国家和地区，单个国家/地区占比不超过48%，案件比例均衡。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指标4：海外制度调整和纠纷线索覆盖地区全面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优良。每月监测10个主要贸易国涉案情况，收集27个国家的制度调整信息，覆盖地区全面。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指标5：选择研讨、服务的事项或企业具有典型性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优良。11次研讨活动涉及不同主题，服务我市双发动机产业和企业普遍关注的问题，具有典型性。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指标6：能力提升培训覆盖企业不同发展阶段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  <w:t>优良。面销中小型企业和行业龙头企业，覆盖不同发展阶段。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指标1：海外维权援助项目申请审核时间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≤7个工作日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  <w:t>3个工作日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指标2：咨询指导反馈周期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≤20个工作日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  <w:t>18个工作日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指标3：海外知识产权公共服务信息产品更新周期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≤2个月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  <w:t>1个月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指标4：海外维权需求调研和动态信息采集频次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≤1个月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</w:rPr>
              <w:t>1个月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指标1：海外信息库持续为企业降低海外信息成本，使用信息库的企业数量不断提升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信息库用户数量≥1000个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1347个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指标2：可复制推广的援助成果供同类型企业参考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形成域外送达制度、商标异议复审、专利无效宣告等制度介绍等20项可复制推广的成果。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指标1：海外维权工作社会公众满意度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98.9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25F36"/>
    <w:rsid w:val="003019A4"/>
    <w:rsid w:val="00387FA8"/>
    <w:rsid w:val="003A4985"/>
    <w:rsid w:val="00477F01"/>
    <w:rsid w:val="00521EFE"/>
    <w:rsid w:val="006B51EE"/>
    <w:rsid w:val="006E4E3B"/>
    <w:rsid w:val="006F05E1"/>
    <w:rsid w:val="008177D1"/>
    <w:rsid w:val="008818DD"/>
    <w:rsid w:val="009102EF"/>
    <w:rsid w:val="00A84E5F"/>
    <w:rsid w:val="00B31694"/>
    <w:rsid w:val="00BD5BCB"/>
    <w:rsid w:val="00C309A6"/>
    <w:rsid w:val="00CC4A19"/>
    <w:rsid w:val="00D8042C"/>
    <w:rsid w:val="00EF3F93"/>
    <w:rsid w:val="00F72649"/>
    <w:rsid w:val="00FE0CA6"/>
    <w:rsid w:val="00FE542A"/>
    <w:rsid w:val="071A3E14"/>
    <w:rsid w:val="0B1476DB"/>
    <w:rsid w:val="21BE0E02"/>
    <w:rsid w:val="24D2775E"/>
    <w:rsid w:val="28C6073D"/>
    <w:rsid w:val="2B6572BE"/>
    <w:rsid w:val="2CF5462A"/>
    <w:rsid w:val="2ED33660"/>
    <w:rsid w:val="37173543"/>
    <w:rsid w:val="3F3225ED"/>
    <w:rsid w:val="3FF76880"/>
    <w:rsid w:val="486A685A"/>
    <w:rsid w:val="4DB20B35"/>
    <w:rsid w:val="60241340"/>
    <w:rsid w:val="626544F2"/>
    <w:rsid w:val="62F549F6"/>
    <w:rsid w:val="632E6FDA"/>
    <w:rsid w:val="6C1F76B3"/>
    <w:rsid w:val="70F25EBF"/>
    <w:rsid w:val="76375245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Char"/>
    <w:basedOn w:val="8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2195</Words>
  <Characters>2389</Characters>
  <Lines>19</Lines>
  <Paragraphs>5</Paragraphs>
  <TotalTime>0</TotalTime>
  <ScaleCrop>false</ScaleCrop>
  <LinksUpToDate>false</LinksUpToDate>
  <CharactersWithSpaces>2440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2024-05-14T01:30:00Z</dcterms:created>
  <dc:creator>user</dc:creator>
  <cp:lastModifiedBy>:D</cp:lastModifiedBy>
  <cp:lastPrinted>2024-05-14T09:26:00Z</cp:lastPrinted>
  <dcterms:modified xsi:type="dcterms:W3CDTF">2024-06-07T07:37:04Z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0D65E6CA2FFD421FA5320368581A7D4D_13</vt:lpwstr>
  </property>
</Properties>
</file>