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D38" w:rsidRDefault="00945478">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63D38" w:rsidRDefault="00945478" w:rsidP="00EB0C45">
      <w:pPr>
        <w:spacing w:line="480" w:lineRule="exact"/>
        <w:jc w:val="center"/>
        <w:outlineLvl w:val="0"/>
        <w:rPr>
          <w:rFonts w:ascii="仿宋_GB2312" w:eastAsia="仿宋_GB2312" w:hAnsi="宋体"/>
          <w:sz w:val="28"/>
          <w:szCs w:val="28"/>
        </w:rPr>
      </w:pPr>
      <w:r>
        <w:rPr>
          <w:rFonts w:ascii="仿宋_GB2312" w:eastAsia="仿宋_GB2312" w:hAnsi="宋体" w:hint="eastAsia"/>
          <w:sz w:val="28"/>
          <w:szCs w:val="28"/>
        </w:rPr>
        <w:t>（2020年度）</w:t>
      </w:r>
    </w:p>
    <w:p w:rsidR="00B63D38" w:rsidRDefault="00B63D38">
      <w:pPr>
        <w:spacing w:line="240" w:lineRule="exact"/>
        <w:rPr>
          <w:rFonts w:ascii="仿宋_GB2312" w:eastAsia="仿宋_GB2312" w:hAnsi="宋体"/>
          <w:sz w:val="30"/>
          <w:szCs w:val="30"/>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5"/>
        <w:gridCol w:w="817"/>
        <w:gridCol w:w="850"/>
        <w:gridCol w:w="1140"/>
        <w:gridCol w:w="420"/>
        <w:gridCol w:w="567"/>
        <w:gridCol w:w="1272"/>
        <w:gridCol w:w="1704"/>
        <w:gridCol w:w="567"/>
        <w:gridCol w:w="673"/>
        <w:gridCol w:w="1011"/>
      </w:tblGrid>
      <w:tr w:rsidR="00B63D38" w:rsidRPr="004370EE" w:rsidTr="00EB0C45">
        <w:trPr>
          <w:trHeight w:hRule="exact" w:val="306"/>
          <w:jc w:val="center"/>
        </w:trPr>
        <w:tc>
          <w:tcPr>
            <w:tcW w:w="1402"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项目名称</w:t>
            </w:r>
          </w:p>
        </w:tc>
        <w:tc>
          <w:tcPr>
            <w:tcW w:w="8204" w:type="dxa"/>
            <w:gridSpan w:val="9"/>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北京知识产权维权援助</w:t>
            </w:r>
          </w:p>
        </w:tc>
      </w:tr>
      <w:tr w:rsidR="00B63D38" w:rsidRPr="004370EE" w:rsidTr="00EB0C45">
        <w:trPr>
          <w:trHeight w:hRule="exact" w:val="434"/>
          <w:jc w:val="center"/>
        </w:trPr>
        <w:tc>
          <w:tcPr>
            <w:tcW w:w="1402"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主管部门</w:t>
            </w:r>
          </w:p>
        </w:tc>
        <w:tc>
          <w:tcPr>
            <w:tcW w:w="4249" w:type="dxa"/>
            <w:gridSpan w:val="5"/>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北京市知识产权局</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实施单位</w:t>
            </w:r>
          </w:p>
        </w:tc>
        <w:tc>
          <w:tcPr>
            <w:tcW w:w="2251" w:type="dxa"/>
            <w:gridSpan w:val="3"/>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北京市保护知识产权举报投诉服务中心</w:t>
            </w:r>
          </w:p>
        </w:tc>
      </w:tr>
      <w:tr w:rsidR="00B63D38" w:rsidRPr="004370EE" w:rsidTr="00EB0C45">
        <w:trPr>
          <w:trHeight w:hRule="exact" w:val="306"/>
          <w:jc w:val="center"/>
        </w:trPr>
        <w:tc>
          <w:tcPr>
            <w:tcW w:w="1402"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项目负责人</w:t>
            </w:r>
          </w:p>
        </w:tc>
        <w:tc>
          <w:tcPr>
            <w:tcW w:w="4249" w:type="dxa"/>
            <w:gridSpan w:val="5"/>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proofErr w:type="gramStart"/>
            <w:r w:rsidRPr="004370EE">
              <w:rPr>
                <w:rFonts w:ascii="仿宋_GB2312" w:eastAsia="仿宋_GB2312" w:hAnsi="宋体" w:cs="宋体" w:hint="eastAsia"/>
                <w:kern w:val="0"/>
                <w:sz w:val="15"/>
                <w:szCs w:val="21"/>
              </w:rPr>
              <w:t>王连洁</w:t>
            </w:r>
            <w:proofErr w:type="gramEnd"/>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联系电话</w:t>
            </w:r>
          </w:p>
        </w:tc>
        <w:tc>
          <w:tcPr>
            <w:tcW w:w="2251" w:type="dxa"/>
            <w:gridSpan w:val="3"/>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r>
      <w:tr w:rsidR="00B63D38" w:rsidRPr="004370EE" w:rsidTr="0048523A">
        <w:trPr>
          <w:trHeight w:hRule="exact" w:val="567"/>
          <w:jc w:val="center"/>
        </w:trPr>
        <w:tc>
          <w:tcPr>
            <w:tcW w:w="1402" w:type="dxa"/>
            <w:gridSpan w:val="2"/>
            <w:vMerge w:val="restart"/>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项目资金</w:t>
            </w:r>
            <w:r w:rsidRPr="004370EE">
              <w:rPr>
                <w:rFonts w:ascii="仿宋_GB2312" w:eastAsia="仿宋_GB2312" w:hAnsi="宋体" w:cs="宋体" w:hint="eastAsia"/>
                <w:kern w:val="0"/>
                <w:sz w:val="15"/>
                <w:szCs w:val="21"/>
              </w:rPr>
              <w:br/>
              <w:t>（万元）</w:t>
            </w:r>
          </w:p>
        </w:tc>
        <w:tc>
          <w:tcPr>
            <w:tcW w:w="1990" w:type="dxa"/>
            <w:gridSpan w:val="2"/>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987"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年初预</w:t>
            </w:r>
          </w:p>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算数</w:t>
            </w:r>
          </w:p>
        </w:tc>
        <w:tc>
          <w:tcPr>
            <w:tcW w:w="1272"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全年预</w:t>
            </w:r>
          </w:p>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算数</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全年</w:t>
            </w:r>
          </w:p>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执行数</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分值</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执行率</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得分</w:t>
            </w:r>
          </w:p>
        </w:tc>
      </w:tr>
      <w:tr w:rsidR="00B63D38" w:rsidRPr="004370EE" w:rsidTr="0048523A">
        <w:trPr>
          <w:trHeight w:hRule="exact" w:val="397"/>
          <w:jc w:val="center"/>
        </w:trPr>
        <w:tc>
          <w:tcPr>
            <w:tcW w:w="1402" w:type="dxa"/>
            <w:gridSpan w:val="2"/>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990" w:type="dxa"/>
            <w:gridSpan w:val="2"/>
            <w:vAlign w:val="center"/>
          </w:tcPr>
          <w:p w:rsidR="00B63D38" w:rsidRPr="004370EE" w:rsidRDefault="00945478" w:rsidP="004370EE">
            <w:pPr>
              <w:widowControl/>
              <w:spacing w:line="0" w:lineRule="atLeast"/>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年度资金总额</w:t>
            </w:r>
          </w:p>
        </w:tc>
        <w:tc>
          <w:tcPr>
            <w:tcW w:w="987"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225.92万元</w:t>
            </w:r>
          </w:p>
        </w:tc>
        <w:tc>
          <w:tcPr>
            <w:tcW w:w="1272"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201.71万元</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201.71万元</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10</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100%</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10</w:t>
            </w:r>
          </w:p>
        </w:tc>
      </w:tr>
      <w:tr w:rsidR="00B63D38" w:rsidRPr="004370EE" w:rsidTr="0048523A">
        <w:trPr>
          <w:trHeight w:hRule="exact" w:val="419"/>
          <w:jc w:val="center"/>
        </w:trPr>
        <w:tc>
          <w:tcPr>
            <w:tcW w:w="1402" w:type="dxa"/>
            <w:gridSpan w:val="2"/>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990"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其中：当年财政</w:t>
            </w:r>
          </w:p>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拨款</w:t>
            </w:r>
          </w:p>
        </w:tc>
        <w:tc>
          <w:tcPr>
            <w:tcW w:w="987"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225.92万元</w:t>
            </w:r>
          </w:p>
        </w:tc>
        <w:tc>
          <w:tcPr>
            <w:tcW w:w="1272"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201.71万元</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201.71万元</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100%</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w:t>
            </w:r>
          </w:p>
        </w:tc>
      </w:tr>
      <w:tr w:rsidR="00B63D38" w:rsidRPr="004370EE" w:rsidTr="0048523A">
        <w:trPr>
          <w:trHeight w:hRule="exact" w:val="385"/>
          <w:jc w:val="center"/>
        </w:trPr>
        <w:tc>
          <w:tcPr>
            <w:tcW w:w="1402" w:type="dxa"/>
            <w:gridSpan w:val="2"/>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990"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上年结转资金</w:t>
            </w:r>
          </w:p>
        </w:tc>
        <w:tc>
          <w:tcPr>
            <w:tcW w:w="987"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0</w:t>
            </w:r>
          </w:p>
        </w:tc>
        <w:tc>
          <w:tcPr>
            <w:tcW w:w="1272"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0</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0</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w:t>
            </w:r>
          </w:p>
        </w:tc>
      </w:tr>
      <w:tr w:rsidR="00B63D38" w:rsidRPr="004370EE" w:rsidTr="0048523A">
        <w:trPr>
          <w:trHeight w:hRule="exact" w:val="306"/>
          <w:jc w:val="center"/>
        </w:trPr>
        <w:tc>
          <w:tcPr>
            <w:tcW w:w="1402" w:type="dxa"/>
            <w:gridSpan w:val="2"/>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990"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其他资金</w:t>
            </w:r>
          </w:p>
        </w:tc>
        <w:tc>
          <w:tcPr>
            <w:tcW w:w="987"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0</w:t>
            </w:r>
          </w:p>
        </w:tc>
        <w:tc>
          <w:tcPr>
            <w:tcW w:w="1272"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0</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0</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w:t>
            </w:r>
          </w:p>
        </w:tc>
      </w:tr>
      <w:tr w:rsidR="00B63D38" w:rsidRPr="004370EE" w:rsidTr="00EB0C45">
        <w:trPr>
          <w:trHeight w:hRule="exact" w:val="501"/>
          <w:jc w:val="center"/>
        </w:trPr>
        <w:tc>
          <w:tcPr>
            <w:tcW w:w="585" w:type="dxa"/>
            <w:vMerge w:val="restart"/>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年度总体目标</w:t>
            </w:r>
          </w:p>
        </w:tc>
        <w:tc>
          <w:tcPr>
            <w:tcW w:w="5066" w:type="dxa"/>
            <w:gridSpan w:val="6"/>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预期目标</w:t>
            </w:r>
          </w:p>
        </w:tc>
        <w:tc>
          <w:tcPr>
            <w:tcW w:w="3955" w:type="dxa"/>
            <w:gridSpan w:val="4"/>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实际完成情况</w:t>
            </w:r>
          </w:p>
        </w:tc>
      </w:tr>
      <w:tr w:rsidR="00B63D38" w:rsidRPr="004370EE" w:rsidTr="00EB0C45">
        <w:trPr>
          <w:trHeight w:hRule="exact" w:val="2261"/>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5066" w:type="dxa"/>
            <w:gridSpan w:val="6"/>
            <w:vAlign w:val="center"/>
          </w:tcPr>
          <w:p w:rsidR="00B63D38" w:rsidRPr="004370EE" w:rsidRDefault="00945478" w:rsidP="004370EE">
            <w:pPr>
              <w:widowControl/>
              <w:spacing w:line="0" w:lineRule="atLeast"/>
              <w:jc w:val="left"/>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1.开展2020年“走出去”知识产权纠纷或事项维权援助服务。</w:t>
            </w:r>
          </w:p>
          <w:p w:rsidR="00B63D38" w:rsidRPr="004370EE" w:rsidRDefault="00945478" w:rsidP="004370EE">
            <w:pPr>
              <w:widowControl/>
              <w:spacing w:line="0" w:lineRule="atLeast"/>
              <w:jc w:val="left"/>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2.完善“走出去”企业知识产权风险防范与纠纷应对实训体系。</w:t>
            </w:r>
          </w:p>
          <w:p w:rsidR="00B63D38" w:rsidRPr="004370EE" w:rsidRDefault="00945478" w:rsidP="004370EE">
            <w:pPr>
              <w:widowControl/>
              <w:spacing w:line="0" w:lineRule="atLeast"/>
              <w:jc w:val="left"/>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3.开展“走出去”维权援助服务项目监督和评价机制建设。</w:t>
            </w:r>
          </w:p>
          <w:p w:rsidR="00B63D38" w:rsidRPr="004370EE" w:rsidRDefault="00945478" w:rsidP="004370EE">
            <w:pPr>
              <w:widowControl/>
              <w:spacing w:line="0" w:lineRule="atLeast"/>
              <w:jc w:val="left"/>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4.开展重点企业维权援助，根据企业申请给予侵权判定、提供咨询意见、培训等专家智力援助。</w:t>
            </w:r>
          </w:p>
          <w:p w:rsidR="00B63D38" w:rsidRPr="004370EE" w:rsidRDefault="00945478" w:rsidP="004370EE">
            <w:pPr>
              <w:widowControl/>
              <w:spacing w:line="0" w:lineRule="atLeast"/>
              <w:jc w:val="left"/>
              <w:rPr>
                <w:rFonts w:ascii="仿宋_GB2312" w:eastAsia="仿宋_GB2312" w:hAnsi="宋体" w:cs="宋体"/>
                <w:color w:val="FF0000"/>
                <w:kern w:val="0"/>
                <w:sz w:val="15"/>
                <w:szCs w:val="21"/>
              </w:rPr>
            </w:pPr>
            <w:r w:rsidRPr="004370EE">
              <w:rPr>
                <w:rFonts w:ascii="仿宋_GB2312" w:eastAsia="仿宋_GB2312" w:hAnsi="宋体" w:cs="宋体" w:hint="eastAsia"/>
                <w:kern w:val="0"/>
                <w:sz w:val="15"/>
                <w:szCs w:val="21"/>
              </w:rPr>
              <w:t>5.开展知识产权侵权判定及展会等维权服务。</w:t>
            </w:r>
          </w:p>
          <w:p w:rsidR="00B63D38" w:rsidRPr="004370EE" w:rsidRDefault="00945478" w:rsidP="004370EE">
            <w:pPr>
              <w:widowControl/>
              <w:spacing w:line="0" w:lineRule="atLeast"/>
              <w:jc w:val="left"/>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6.开展典型知识产权维权问题研讨。</w:t>
            </w:r>
          </w:p>
          <w:p w:rsidR="00B63D38" w:rsidRPr="004370EE" w:rsidRDefault="00945478" w:rsidP="004370EE">
            <w:pPr>
              <w:widowControl/>
              <w:spacing w:line="0" w:lineRule="atLeast"/>
              <w:jc w:val="left"/>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7.丰富完善针对产业的知识产权保护指南，形成典型案例、产业指南等系列产品。</w:t>
            </w:r>
          </w:p>
        </w:tc>
        <w:tc>
          <w:tcPr>
            <w:tcW w:w="3955" w:type="dxa"/>
            <w:gridSpan w:val="4"/>
            <w:vAlign w:val="center"/>
          </w:tcPr>
          <w:p w:rsidR="00B63D38" w:rsidRPr="004370EE" w:rsidRDefault="00945478" w:rsidP="004370EE">
            <w:pPr>
              <w:widowControl/>
              <w:spacing w:line="0" w:lineRule="atLeast"/>
              <w:jc w:val="left"/>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完成6项2020年“走出去”知识产权纠纷或事项维权援助服务；建立完善“走出去”企业知</w:t>
            </w:r>
            <w:bookmarkStart w:id="0" w:name="_GoBack"/>
            <w:bookmarkEnd w:id="0"/>
            <w:r w:rsidRPr="004370EE">
              <w:rPr>
                <w:rFonts w:ascii="仿宋_GB2312" w:eastAsia="仿宋_GB2312" w:hAnsi="宋体" w:cs="宋体" w:hint="eastAsia"/>
                <w:kern w:val="0"/>
                <w:sz w:val="15"/>
                <w:szCs w:val="21"/>
              </w:rPr>
              <w:t>识产权风险防范与纠纷应对实训体系并举办4次培训；开展“走出去”维权援助服务项目监督和评价工作，全程跟踪我市企业海外知识产权维权援助项目并进行评估；根据企业申请给予侵权判定、提供咨询意见、培训等专家智力援助；开展知识产权展会等维权服务相关经费已于2020年中旬退回财政；开展典型知识产权维权问题研讨4次；开展重点企业维权援助2个，丰富完善针对产业的知识产权保护指南，形成典型案例、产业指南等系列产品。</w:t>
            </w:r>
          </w:p>
        </w:tc>
      </w:tr>
      <w:tr w:rsidR="00B63D38" w:rsidRPr="004370EE" w:rsidTr="00EB0C45">
        <w:trPr>
          <w:trHeight w:hRule="exact" w:val="564"/>
          <w:jc w:val="center"/>
        </w:trPr>
        <w:tc>
          <w:tcPr>
            <w:tcW w:w="585" w:type="dxa"/>
            <w:vMerge w:val="restart"/>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绩</w:t>
            </w:r>
            <w:r w:rsidRPr="004370EE">
              <w:rPr>
                <w:rFonts w:ascii="仿宋_GB2312" w:eastAsia="仿宋_GB2312" w:hAnsi="宋体" w:cs="宋体" w:hint="eastAsia"/>
                <w:kern w:val="0"/>
                <w:sz w:val="15"/>
                <w:szCs w:val="21"/>
              </w:rPr>
              <w:br/>
              <w:t>效</w:t>
            </w:r>
            <w:r w:rsidRPr="004370EE">
              <w:rPr>
                <w:rFonts w:ascii="仿宋_GB2312" w:eastAsia="仿宋_GB2312" w:hAnsi="宋体" w:cs="宋体" w:hint="eastAsia"/>
                <w:kern w:val="0"/>
                <w:sz w:val="15"/>
                <w:szCs w:val="21"/>
              </w:rPr>
              <w:br/>
              <w:t>指</w:t>
            </w:r>
            <w:r w:rsidRPr="004370EE">
              <w:rPr>
                <w:rFonts w:ascii="仿宋_GB2312" w:eastAsia="仿宋_GB2312" w:hAnsi="宋体" w:cs="宋体" w:hint="eastAsia"/>
                <w:kern w:val="0"/>
                <w:sz w:val="15"/>
                <w:szCs w:val="21"/>
              </w:rPr>
              <w:br/>
              <w:t>标</w:t>
            </w:r>
          </w:p>
        </w:tc>
        <w:tc>
          <w:tcPr>
            <w:tcW w:w="81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一级指标</w:t>
            </w:r>
          </w:p>
        </w:tc>
        <w:tc>
          <w:tcPr>
            <w:tcW w:w="850"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二级指标</w:t>
            </w:r>
          </w:p>
        </w:tc>
        <w:tc>
          <w:tcPr>
            <w:tcW w:w="1560"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三级指标</w:t>
            </w:r>
          </w:p>
        </w:tc>
        <w:tc>
          <w:tcPr>
            <w:tcW w:w="1839"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年度</w:t>
            </w:r>
          </w:p>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指标值</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实际</w:t>
            </w:r>
          </w:p>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完成值</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分值</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得分</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偏差原因分析及改进措施</w:t>
            </w:r>
          </w:p>
        </w:tc>
      </w:tr>
      <w:tr w:rsidR="00B63D38" w:rsidRPr="004370EE" w:rsidTr="00EB0C45">
        <w:trPr>
          <w:trHeight w:hRule="exact" w:val="558"/>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restart"/>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产出指标</w:t>
            </w:r>
          </w:p>
        </w:tc>
        <w:tc>
          <w:tcPr>
            <w:tcW w:w="850" w:type="dxa"/>
            <w:vMerge w:val="restart"/>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数量指标</w:t>
            </w: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走出去</w:t>
            </w: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企业知识产权纠纷或事项维权援助服务</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援助6个项目</w:t>
            </w:r>
          </w:p>
        </w:tc>
        <w:tc>
          <w:tcPr>
            <w:tcW w:w="1704" w:type="dxa"/>
            <w:vAlign w:val="center"/>
          </w:tcPr>
          <w:p w:rsidR="00B63D38" w:rsidRPr="004370EE" w:rsidRDefault="00945478" w:rsidP="004370EE">
            <w:pPr>
              <w:widowControl/>
              <w:spacing w:line="0" w:lineRule="atLeast"/>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完成6个项目援助</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566"/>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举办企业海外知识产权风险防范及纠纷应对研讨或培训</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建立1个实训体系，并举办4次培训</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建立1个实训体系，并举办4次培训</w:t>
            </w:r>
            <w:r w:rsidRPr="004370EE">
              <w:rPr>
                <w:rFonts w:ascii="仿宋_GB2312" w:eastAsia="仿宋_GB2312" w:hAnsi="宋体" w:cs="宋体" w:hint="eastAsia"/>
                <w:kern w:val="0"/>
                <w:sz w:val="15"/>
                <w:szCs w:val="21"/>
              </w:rPr>
              <w:tab/>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1977"/>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开展</w:t>
            </w: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走出去</w:t>
            </w: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维权援助服务项目监督和评价机制建设</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全程跟踪我市企业海外知识产权维权援助项目并进行评估；对企业维权过程中遇到的关键环节提供咨询意见；编写《2020年北京市企业海外知识产权维权情况报告》；整理援助案例。</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全程跟踪我市企业海外知识产权维权援助项目并进行评估；对3家企业知识产权维权援助提供咨询意见；编写《2020年北京市企业海外知识产权维权情况报告》；整理援助案例。</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1852"/>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开展2020年国内知识产权维权援助</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开展重点企业援助，全年根据企业申请，给予专家智力援助；全年根据需要开展知识产权侵权判定及展会等维权服务；形成典型案例、产业指南、培训课程体系及培训课件等系列产品。</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开展数字文化、医药健康产业维权援助，</w:t>
            </w:r>
            <w:r w:rsidRPr="004370EE">
              <w:rPr>
                <w:rFonts w:ascii="仿宋_GB2312" w:eastAsia="仿宋_GB2312" w:hAnsi="宋体" w:cs="宋体"/>
                <w:kern w:val="0"/>
                <w:sz w:val="15"/>
                <w:szCs w:val="21"/>
              </w:rPr>
              <w:t>形成典型案例、培训课程体系及培训课件等系列产品</w:t>
            </w:r>
            <w:r w:rsidRPr="004370EE">
              <w:rPr>
                <w:rFonts w:ascii="仿宋_GB2312" w:eastAsia="仿宋_GB2312" w:hAnsi="宋体" w:cs="宋体" w:hint="eastAsia"/>
                <w:kern w:val="0"/>
                <w:sz w:val="15"/>
                <w:szCs w:val="21"/>
              </w:rPr>
              <w:t>；更新产业折页10个。</w:t>
            </w:r>
            <w:r w:rsidRPr="004370EE">
              <w:rPr>
                <w:rFonts w:ascii="仿宋_GB2312" w:eastAsia="仿宋_GB2312" w:hAnsi="宋体" w:cs="宋体"/>
                <w:kern w:val="0"/>
                <w:sz w:val="15"/>
                <w:szCs w:val="21"/>
              </w:rPr>
              <w:t>。</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561"/>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开展典型知识产权维权问题研讨</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举办2-4次研讨</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开展4次研讨</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861"/>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restart"/>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质量指标</w:t>
            </w: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走出去</w:t>
            </w: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企业知识产权纠纷或事项维权援助服务</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组织专家开展援助服务，给予援助意见。</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组织专家对6个援助项目给予指导，并提供援助意见。</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3129"/>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建立“走出去”企业知识产权风险防范及纠纷应对实训体系</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委托中立的专业机构开展服务；相关课程体系紧密结合企业需求，具有实操性和指导性。</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委托服务机构建立了“走出去”企业知识产权风险防范及纠纷应对实训体系，举办的培训内容涉及企业关注的知识产权海外维权实务、商标海外保护、海外维</w:t>
            </w:r>
            <w:proofErr w:type="gramStart"/>
            <w:r w:rsidRPr="004370EE">
              <w:rPr>
                <w:rFonts w:ascii="仿宋_GB2312" w:eastAsia="仿宋_GB2312" w:hAnsi="宋体" w:cs="宋体" w:hint="eastAsia"/>
                <w:kern w:val="0"/>
                <w:sz w:val="15"/>
                <w:szCs w:val="21"/>
              </w:rPr>
              <w:t>权信息</w:t>
            </w:r>
            <w:proofErr w:type="gramEnd"/>
            <w:r w:rsidRPr="004370EE">
              <w:rPr>
                <w:rFonts w:ascii="仿宋_GB2312" w:eastAsia="仿宋_GB2312" w:hAnsi="宋体" w:cs="宋体" w:hint="eastAsia"/>
                <w:kern w:val="0"/>
                <w:sz w:val="15"/>
                <w:szCs w:val="21"/>
              </w:rPr>
              <w:t>及数据使用培训、新经济形势下的国际化知识产权保护与竞争策略、知识产权信息化助力企业海外维权、中国企业数据合</w:t>
            </w:r>
            <w:proofErr w:type="gramStart"/>
            <w:r w:rsidRPr="004370EE">
              <w:rPr>
                <w:rFonts w:ascii="仿宋_GB2312" w:eastAsia="仿宋_GB2312" w:hAnsi="宋体" w:cs="宋体" w:hint="eastAsia"/>
                <w:kern w:val="0"/>
                <w:sz w:val="15"/>
                <w:szCs w:val="21"/>
              </w:rPr>
              <w:t>规</w:t>
            </w:r>
            <w:proofErr w:type="gramEnd"/>
            <w:r w:rsidRPr="004370EE">
              <w:rPr>
                <w:rFonts w:ascii="仿宋_GB2312" w:eastAsia="仿宋_GB2312" w:hAnsi="宋体" w:cs="宋体" w:hint="eastAsia"/>
                <w:kern w:val="0"/>
                <w:sz w:val="15"/>
                <w:szCs w:val="21"/>
              </w:rPr>
              <w:t>管理实操指南。</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989"/>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走出去</w:t>
            </w: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维权援助服务项目监督和评价机制建设</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委托中立研究机构全程跟踪我市企业海外知识产权维权援助项目并进行评估。</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委托了研究机构全程跟踪我市企业海外知识产权维权援助项目并进行评估。</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2974"/>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开展2020年国内知识产权维权援助</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选择的</w:t>
            </w:r>
            <w:proofErr w:type="gramStart"/>
            <w:r w:rsidRPr="004370EE">
              <w:rPr>
                <w:rFonts w:ascii="仿宋_GB2312" w:eastAsia="仿宋_GB2312" w:hAnsi="宋体" w:cs="宋体" w:hint="eastAsia"/>
                <w:kern w:val="0"/>
                <w:sz w:val="15"/>
                <w:szCs w:val="21"/>
              </w:rPr>
              <w:t>产业市</w:t>
            </w:r>
            <w:proofErr w:type="gramEnd"/>
            <w:r w:rsidRPr="004370EE">
              <w:rPr>
                <w:rFonts w:ascii="仿宋_GB2312" w:eastAsia="仿宋_GB2312" w:hAnsi="宋体" w:cs="宋体" w:hint="eastAsia"/>
                <w:kern w:val="0"/>
                <w:sz w:val="15"/>
                <w:szCs w:val="21"/>
              </w:rPr>
              <w:t>我市及所在区的重点产业；结合产业或创新发展中的知识产权保护问题，梳理</w:t>
            </w:r>
            <w:proofErr w:type="gramStart"/>
            <w:r w:rsidRPr="004370EE">
              <w:rPr>
                <w:rFonts w:ascii="仿宋_GB2312" w:eastAsia="仿宋_GB2312" w:hAnsi="宋体" w:cs="宋体" w:hint="eastAsia"/>
                <w:kern w:val="0"/>
                <w:sz w:val="15"/>
                <w:szCs w:val="21"/>
              </w:rPr>
              <w:t>产业链各环节</w:t>
            </w:r>
            <w:proofErr w:type="gramEnd"/>
            <w:r w:rsidRPr="004370EE">
              <w:rPr>
                <w:rFonts w:ascii="仿宋_GB2312" w:eastAsia="仿宋_GB2312" w:hAnsi="宋体" w:cs="宋体" w:hint="eastAsia"/>
                <w:kern w:val="0"/>
                <w:sz w:val="15"/>
                <w:szCs w:val="21"/>
              </w:rPr>
              <w:t>知识产权风险点，形成的援助成果如典型案例、产业指南、培训课程体系及培训课件等系列产品可在同类产业进行复制推广。给与援助的企业需求具有典型性，属于市场化服务无法解决的问题，需要通过维权援助服务资源进行援助，并能够进行复制推广。</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选择数字文化和医药健康两个重点产业进行援助，相关典型案例、产业指南已印发给企业，并在援助中为企业举办了相应的培训。针对3家典型性企业给予维权援助，企业类型典型且可复制推广。</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1275"/>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开展典型知识产权维权问题研讨</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选取的典型问题具有代表性，涉及各类知识产权，属于我市企业普遍关注的问题，对研讨内容整理具有借鉴推广意义</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选取知识产权损害赔偿裁判标准、商业秘密法律实务、知识产权证据等热点问题进行研讨，并对研讨内容进行整理推广。</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2118"/>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restart"/>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时效指标</w:t>
            </w: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走出去</w:t>
            </w: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企业知识产权纠纷或事项维权援助服务</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一季度，制定2020年海外维权项目援助工作方案，征集项目，召开项目评审会（2月-3月）；二季度，援助6个项目，为每个援助项目建立专家服务专班，配备3-5名专家，全程指导项目实施（4月-5月）；三季度，中期检查；四季度，项目验收。</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一季度，制定2020年海外维权项目援助工作方案，征集项目；二季度，援助6个项目，为每个援助项目建立专家服务专班，全程指导项目实施；三季度，中期检查；四季度，项目验收。</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1411"/>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建立“走出去”</w:t>
            </w:r>
            <w:r w:rsidRPr="004370EE">
              <w:rPr>
                <w:rFonts w:ascii="仿宋_GB2312" w:eastAsia="仿宋_GB2312" w:hAnsi="宋体" w:cs="宋体"/>
                <w:kern w:val="0"/>
                <w:sz w:val="15"/>
                <w:szCs w:val="21"/>
              </w:rPr>
              <w:t>企业海外知识产权风险防范及纠纷应对</w:t>
            </w:r>
            <w:r w:rsidRPr="004370EE">
              <w:rPr>
                <w:rFonts w:ascii="仿宋_GB2312" w:eastAsia="仿宋_GB2312" w:hAnsi="宋体" w:cs="宋体" w:hint="eastAsia"/>
                <w:kern w:val="0"/>
                <w:sz w:val="15"/>
                <w:szCs w:val="21"/>
              </w:rPr>
              <w:t>实训体系</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二季度，形成课程清单（5月-6月）；三季度，举办海外维权案例研讨或经验分享等活动1-3次（7月-8月）；四季度，举办海外维权培训、案例研讨活动1-3次。</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二季度，形成课程清单；三、四季度分别于7月、9月、11月和12月举办了主题为4场海外维权培训。。</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2279"/>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走出去</w:t>
            </w: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维权援助服务项目监督和评价机制建设</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一</w:t>
            </w:r>
            <w:r w:rsidRPr="004370EE">
              <w:rPr>
                <w:rFonts w:ascii="仿宋_GB2312" w:eastAsia="仿宋_GB2312" w:hAnsi="宋体" w:cs="宋体" w:hint="eastAsia"/>
                <w:kern w:val="0"/>
                <w:sz w:val="15"/>
                <w:szCs w:val="21"/>
              </w:rPr>
              <w:t>至</w:t>
            </w:r>
            <w:r w:rsidRPr="004370EE">
              <w:rPr>
                <w:rFonts w:ascii="仿宋_GB2312" w:eastAsia="仿宋_GB2312" w:hAnsi="宋体" w:cs="宋体"/>
                <w:kern w:val="0"/>
                <w:sz w:val="15"/>
                <w:szCs w:val="21"/>
              </w:rPr>
              <w:t>三季度全程跟踪我市企业海外知识产权维权援助项目并进行评估；对企业维权过程中遇到的关键环节提供咨询意见；四季度，编写《2020年北京市企业海外知识产权维权情况报告》；对项目实施提出建议；整理援助案例。（11月）</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一至三季度全程跟踪我市企业海外知识产权维权援助项目并进行评估；对企业维权过程中遇到的关键环节提供咨询意见；四季度，编写《2020年北京市企业海外知识产权维权情况报告》；对项目实施提出建议；11月</w:t>
            </w:r>
            <w:proofErr w:type="gramStart"/>
            <w:r w:rsidRPr="004370EE">
              <w:rPr>
                <w:rFonts w:ascii="仿宋_GB2312" w:eastAsia="仿宋_GB2312" w:hAnsi="宋体" w:cs="宋体" w:hint="eastAsia"/>
                <w:kern w:val="0"/>
                <w:sz w:val="15"/>
                <w:szCs w:val="21"/>
              </w:rPr>
              <w:t>通过结项验收</w:t>
            </w:r>
            <w:proofErr w:type="gramEnd"/>
            <w:r w:rsidRPr="004370EE">
              <w:rPr>
                <w:rFonts w:ascii="仿宋_GB2312" w:eastAsia="仿宋_GB2312" w:hAnsi="宋体" w:cs="宋体" w:hint="eastAsia"/>
                <w:kern w:val="0"/>
                <w:sz w:val="15"/>
                <w:szCs w:val="21"/>
              </w:rPr>
              <w:t>。</w:t>
            </w:r>
            <w:r w:rsidRPr="004370EE">
              <w:rPr>
                <w:rFonts w:ascii="仿宋_GB2312" w:eastAsia="仿宋_GB2312" w:hAnsi="宋体" w:cs="宋体" w:hint="eastAsia"/>
                <w:kern w:val="0"/>
                <w:sz w:val="15"/>
                <w:szCs w:val="21"/>
              </w:rPr>
              <w:tab/>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1711"/>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开展2020年国内知识产权维权援助</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结合企业海外维权的典型问题，开展海外知识产权维权研究，就纠纷现状、发生原因和应对措施进行分析，形成相关研究报告、案例分析、应对建议等内容（11月）</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全年开展重点企业维权援助，根据企业申请，给予专家智力援助，并支付专家劳务费。全年开展丰富完善针对产业的知识产权保护指南项目两个。</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1990"/>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开展典型知识产权维权问题研讨</w:t>
            </w:r>
          </w:p>
        </w:tc>
        <w:tc>
          <w:tcPr>
            <w:tcW w:w="1839"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全年开展重点企业维权援助，根据企业申请，给予专家智力援助，并支付专家劳务费。全年根据需要开展知识产权侵权判定及展会等维权服务。全年开展丰富完善针对产业的知识产权保护指南项目两个。</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5月、7月、8月和11</w:t>
            </w:r>
            <w:proofErr w:type="gramStart"/>
            <w:r w:rsidRPr="004370EE">
              <w:rPr>
                <w:rFonts w:ascii="仿宋_GB2312" w:eastAsia="仿宋_GB2312" w:hAnsi="宋体" w:cs="宋体" w:hint="eastAsia"/>
                <w:kern w:val="0"/>
                <w:sz w:val="15"/>
                <w:szCs w:val="21"/>
              </w:rPr>
              <w:t>月分</w:t>
            </w:r>
            <w:proofErr w:type="gramEnd"/>
            <w:r w:rsidRPr="004370EE">
              <w:rPr>
                <w:rFonts w:ascii="仿宋_GB2312" w:eastAsia="仿宋_GB2312" w:hAnsi="宋体" w:cs="宋体" w:hint="eastAsia"/>
                <w:kern w:val="0"/>
                <w:sz w:val="15"/>
                <w:szCs w:val="21"/>
              </w:rPr>
              <w:t>别组织召开4次典型知识产权维权问题研讨会。</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2542"/>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成本指标</w:t>
            </w: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走出去</w:t>
            </w:r>
            <w:r w:rsidRPr="004370EE">
              <w:rPr>
                <w:rFonts w:ascii="仿宋_GB2312" w:eastAsia="仿宋_GB2312" w:hAnsi="宋体" w:cs="宋体"/>
                <w:kern w:val="0"/>
                <w:sz w:val="15"/>
                <w:szCs w:val="21"/>
              </w:rPr>
              <w:t>”</w:t>
            </w:r>
            <w:r w:rsidRPr="004370EE">
              <w:rPr>
                <w:rFonts w:ascii="仿宋_GB2312" w:eastAsia="仿宋_GB2312" w:hAnsi="宋体" w:cs="宋体"/>
                <w:kern w:val="0"/>
                <w:sz w:val="15"/>
                <w:szCs w:val="21"/>
              </w:rPr>
              <w:t>企业知识产权纠纷或事项维权援助服务</w:t>
            </w:r>
          </w:p>
        </w:tc>
        <w:tc>
          <w:tcPr>
            <w:tcW w:w="1839"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受援助企业、社会组织需要投入不低于1:1的配套维权资金，专利项目个数不高于4个，委托费不高于30万元/</w:t>
            </w:r>
            <w:proofErr w:type="gramStart"/>
            <w:r w:rsidRPr="004370EE">
              <w:rPr>
                <w:rFonts w:ascii="仿宋_GB2312" w:eastAsia="仿宋_GB2312" w:hAnsi="宋体" w:cs="宋体" w:hint="eastAsia"/>
                <w:kern w:val="0"/>
                <w:sz w:val="15"/>
                <w:szCs w:val="21"/>
              </w:rPr>
              <w:t>个</w:t>
            </w:r>
            <w:proofErr w:type="gramEnd"/>
            <w:r w:rsidRPr="004370EE">
              <w:rPr>
                <w:rFonts w:ascii="仿宋_GB2312" w:eastAsia="仿宋_GB2312" w:hAnsi="宋体" w:cs="宋体" w:hint="eastAsia"/>
                <w:kern w:val="0"/>
                <w:sz w:val="15"/>
                <w:szCs w:val="21"/>
              </w:rPr>
              <w:t>，商标项目个数不高于2个，委托费不高于15万元/</w:t>
            </w:r>
            <w:proofErr w:type="gramStart"/>
            <w:r w:rsidRPr="004370EE">
              <w:rPr>
                <w:rFonts w:ascii="仿宋_GB2312" w:eastAsia="仿宋_GB2312" w:hAnsi="宋体" w:cs="宋体" w:hint="eastAsia"/>
                <w:kern w:val="0"/>
                <w:sz w:val="15"/>
                <w:szCs w:val="21"/>
              </w:rPr>
              <w:t>个</w:t>
            </w:r>
            <w:proofErr w:type="gramEnd"/>
            <w:r w:rsidRPr="004370EE">
              <w:rPr>
                <w:rFonts w:ascii="仿宋_GB2312" w:eastAsia="仿宋_GB2312" w:hAnsi="宋体" w:cs="宋体" w:hint="eastAsia"/>
                <w:kern w:val="0"/>
                <w:sz w:val="15"/>
                <w:szCs w:val="21"/>
              </w:rPr>
              <w:t>，严格按照预算控制评审专家人数，根据参加培训的人数预订会议场地，优先使用本单位会议室。</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受援助企业、社会组织需要投入不低于1:1的配套维权资金，专利项目个数不高于4个，委托费不高于30万元/</w:t>
            </w:r>
            <w:proofErr w:type="gramStart"/>
            <w:r w:rsidRPr="004370EE">
              <w:rPr>
                <w:rFonts w:ascii="仿宋_GB2312" w:eastAsia="仿宋_GB2312" w:hAnsi="宋体" w:cs="宋体" w:hint="eastAsia"/>
                <w:kern w:val="0"/>
                <w:sz w:val="15"/>
                <w:szCs w:val="21"/>
              </w:rPr>
              <w:t>个</w:t>
            </w:r>
            <w:proofErr w:type="gramEnd"/>
            <w:r w:rsidRPr="004370EE">
              <w:rPr>
                <w:rFonts w:ascii="仿宋_GB2312" w:eastAsia="仿宋_GB2312" w:hAnsi="宋体" w:cs="宋体" w:hint="eastAsia"/>
                <w:kern w:val="0"/>
                <w:sz w:val="15"/>
                <w:szCs w:val="21"/>
              </w:rPr>
              <w:t>，商标项目个数不高于2个，委托费不高于15万元/</w:t>
            </w:r>
            <w:proofErr w:type="gramStart"/>
            <w:r w:rsidRPr="004370EE">
              <w:rPr>
                <w:rFonts w:ascii="仿宋_GB2312" w:eastAsia="仿宋_GB2312" w:hAnsi="宋体" w:cs="宋体" w:hint="eastAsia"/>
                <w:kern w:val="0"/>
                <w:sz w:val="15"/>
                <w:szCs w:val="21"/>
              </w:rPr>
              <w:t>个</w:t>
            </w:r>
            <w:proofErr w:type="gramEnd"/>
            <w:r w:rsidRPr="004370EE">
              <w:rPr>
                <w:rFonts w:ascii="仿宋_GB2312" w:eastAsia="仿宋_GB2312" w:hAnsi="宋体" w:cs="宋体" w:hint="eastAsia"/>
                <w:kern w:val="0"/>
                <w:sz w:val="15"/>
                <w:szCs w:val="21"/>
              </w:rPr>
              <w:t>，严格按照预算控制评审专家人数，根据参加培训的人数预订会议场地，优先使用本单位会议室。</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1557"/>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restart"/>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效益指标</w:t>
            </w:r>
          </w:p>
        </w:tc>
        <w:tc>
          <w:tcPr>
            <w:tcW w:w="850"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经济效益</w:t>
            </w:r>
          </w:p>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指标</w:t>
            </w: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经济效益</w:t>
            </w:r>
          </w:p>
        </w:tc>
        <w:tc>
          <w:tcPr>
            <w:tcW w:w="1839"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为纠纷应对提供有指导性的意见；援助成果可复制推广，从而有效降低企业的维</w:t>
            </w:r>
            <w:proofErr w:type="gramStart"/>
            <w:r w:rsidRPr="004370EE">
              <w:rPr>
                <w:rFonts w:ascii="仿宋_GB2312" w:eastAsia="仿宋_GB2312" w:hAnsi="宋体" w:cs="宋体" w:hint="eastAsia"/>
                <w:kern w:val="0"/>
                <w:sz w:val="15"/>
                <w:szCs w:val="21"/>
              </w:rPr>
              <w:t>权成本</w:t>
            </w:r>
            <w:proofErr w:type="gramEnd"/>
            <w:r w:rsidRPr="004370EE">
              <w:rPr>
                <w:rFonts w:ascii="仿宋_GB2312" w:eastAsia="仿宋_GB2312" w:hAnsi="宋体" w:cs="宋体" w:hint="eastAsia"/>
                <w:kern w:val="0"/>
                <w:sz w:val="15"/>
                <w:szCs w:val="21"/>
              </w:rPr>
              <w:tab/>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形成8份可共享的援助指导性意见，通过</w:t>
            </w:r>
            <w:proofErr w:type="gramStart"/>
            <w:r w:rsidRPr="004370EE">
              <w:rPr>
                <w:rFonts w:ascii="仿宋_GB2312" w:eastAsia="仿宋_GB2312" w:hAnsi="宋体" w:cs="宋体" w:hint="eastAsia"/>
                <w:kern w:val="0"/>
                <w:sz w:val="15"/>
                <w:szCs w:val="21"/>
              </w:rPr>
              <w:t>微信公众号</w:t>
            </w:r>
            <w:proofErr w:type="gramEnd"/>
            <w:r w:rsidRPr="004370EE">
              <w:rPr>
                <w:rFonts w:ascii="仿宋_GB2312" w:eastAsia="仿宋_GB2312" w:hAnsi="宋体" w:cs="宋体" w:hint="eastAsia"/>
                <w:kern w:val="0"/>
                <w:sz w:val="15"/>
                <w:szCs w:val="21"/>
              </w:rPr>
              <w:t>及网站进行推送</w:t>
            </w:r>
            <w:r w:rsidRPr="004370EE">
              <w:rPr>
                <w:rFonts w:ascii="仿宋_GB2312" w:eastAsia="仿宋_GB2312" w:hAnsi="宋体" w:cs="宋体" w:hint="eastAsia"/>
                <w:kern w:val="0"/>
                <w:sz w:val="15"/>
                <w:szCs w:val="21"/>
              </w:rPr>
              <w:tab/>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998"/>
          <w:jc w:val="center"/>
        </w:trPr>
        <w:tc>
          <w:tcPr>
            <w:tcW w:w="585"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17" w:type="dxa"/>
            <w:vMerge/>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c>
          <w:tcPr>
            <w:tcW w:w="850"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社会效益</w:t>
            </w:r>
          </w:p>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指标</w:t>
            </w:r>
          </w:p>
        </w:tc>
        <w:tc>
          <w:tcPr>
            <w:tcW w:w="1560" w:type="dxa"/>
            <w:gridSpan w:val="2"/>
            <w:vAlign w:val="center"/>
          </w:tcPr>
          <w:p w:rsidR="00B63D38" w:rsidRPr="004370EE" w:rsidRDefault="00945478" w:rsidP="004370EE">
            <w:pPr>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社会效益</w:t>
            </w:r>
          </w:p>
        </w:tc>
        <w:tc>
          <w:tcPr>
            <w:tcW w:w="1839" w:type="dxa"/>
            <w:gridSpan w:val="2"/>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有效提升我市企业预防和应对知识产权纠纷的能力。</w:t>
            </w:r>
          </w:p>
        </w:tc>
        <w:tc>
          <w:tcPr>
            <w:tcW w:w="1704"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有效提升我市企业预防和应对知识产权纠纷的能力。</w:t>
            </w:r>
            <w:r w:rsidRPr="004370EE">
              <w:rPr>
                <w:rFonts w:ascii="仿宋_GB2312" w:eastAsia="仿宋_GB2312" w:hAnsi="宋体" w:cs="宋体" w:hint="eastAsia"/>
                <w:kern w:val="0"/>
                <w:sz w:val="15"/>
                <w:szCs w:val="21"/>
              </w:rPr>
              <w:tab/>
            </w:r>
            <w:r w:rsidRPr="004370EE">
              <w:rPr>
                <w:rFonts w:ascii="仿宋_GB2312" w:eastAsia="仿宋_GB2312" w:hAnsi="宋体" w:cs="宋体" w:hint="eastAsia"/>
                <w:kern w:val="0"/>
                <w:sz w:val="15"/>
                <w:szCs w:val="21"/>
              </w:rPr>
              <w:tab/>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5</w:t>
            </w:r>
          </w:p>
        </w:tc>
        <w:tc>
          <w:tcPr>
            <w:tcW w:w="1011" w:type="dxa"/>
            <w:vAlign w:val="center"/>
          </w:tcPr>
          <w:p w:rsidR="00B63D38" w:rsidRPr="004370EE" w:rsidRDefault="00945478" w:rsidP="004370EE">
            <w:pPr>
              <w:widowControl/>
              <w:spacing w:line="0" w:lineRule="atLeast"/>
              <w:jc w:val="center"/>
              <w:rPr>
                <w:rFonts w:ascii="仿宋_GB2312" w:eastAsia="仿宋_GB2312" w:hAnsi="宋体" w:cs="宋体"/>
                <w:kern w:val="0"/>
                <w:sz w:val="15"/>
                <w:szCs w:val="21"/>
              </w:rPr>
            </w:pPr>
            <w:r w:rsidRPr="004370EE">
              <w:rPr>
                <w:rFonts w:ascii="仿宋_GB2312" w:eastAsia="仿宋_GB2312" w:hAnsi="宋体" w:cs="宋体" w:hint="eastAsia"/>
                <w:kern w:val="0"/>
                <w:sz w:val="15"/>
                <w:szCs w:val="21"/>
              </w:rPr>
              <w:t>无偏差</w:t>
            </w:r>
          </w:p>
        </w:tc>
      </w:tr>
      <w:tr w:rsidR="00B63D38" w:rsidRPr="004370EE" w:rsidTr="00EB0C45">
        <w:trPr>
          <w:trHeight w:hRule="exact" w:val="477"/>
          <w:jc w:val="center"/>
        </w:trPr>
        <w:tc>
          <w:tcPr>
            <w:tcW w:w="7355" w:type="dxa"/>
            <w:gridSpan w:val="8"/>
            <w:vAlign w:val="center"/>
          </w:tcPr>
          <w:p w:rsidR="00B63D38" w:rsidRPr="004370EE" w:rsidRDefault="00945478" w:rsidP="004370EE">
            <w:pPr>
              <w:widowControl/>
              <w:spacing w:line="0" w:lineRule="atLeast"/>
              <w:jc w:val="center"/>
              <w:rPr>
                <w:rFonts w:ascii="仿宋_GB2312" w:eastAsia="仿宋_GB2312" w:hAnsi="宋体" w:cs="宋体"/>
                <w:color w:val="000000"/>
                <w:kern w:val="0"/>
                <w:sz w:val="15"/>
                <w:szCs w:val="21"/>
              </w:rPr>
            </w:pPr>
            <w:r w:rsidRPr="004370EE">
              <w:rPr>
                <w:rFonts w:ascii="仿宋_GB2312" w:eastAsia="仿宋_GB2312" w:hAnsi="宋体" w:cs="宋体" w:hint="eastAsia"/>
                <w:color w:val="000000"/>
                <w:kern w:val="0"/>
                <w:sz w:val="15"/>
                <w:szCs w:val="21"/>
              </w:rPr>
              <w:t>总分</w:t>
            </w:r>
          </w:p>
        </w:tc>
        <w:tc>
          <w:tcPr>
            <w:tcW w:w="567" w:type="dxa"/>
            <w:vAlign w:val="center"/>
          </w:tcPr>
          <w:p w:rsidR="00B63D38" w:rsidRPr="004370EE" w:rsidRDefault="00945478" w:rsidP="004370EE">
            <w:pPr>
              <w:widowControl/>
              <w:spacing w:line="0" w:lineRule="atLeast"/>
              <w:jc w:val="center"/>
              <w:rPr>
                <w:rFonts w:ascii="仿宋_GB2312" w:eastAsia="仿宋_GB2312" w:hAnsi="宋体" w:cs="宋体"/>
                <w:color w:val="000000"/>
                <w:kern w:val="0"/>
                <w:sz w:val="15"/>
                <w:szCs w:val="21"/>
              </w:rPr>
            </w:pPr>
            <w:r w:rsidRPr="004370EE">
              <w:rPr>
                <w:rFonts w:ascii="仿宋_GB2312" w:eastAsia="仿宋_GB2312" w:hAnsi="宋体" w:cs="宋体" w:hint="eastAsia"/>
                <w:color w:val="000000"/>
                <w:kern w:val="0"/>
                <w:sz w:val="15"/>
                <w:szCs w:val="21"/>
              </w:rPr>
              <w:t>100</w:t>
            </w:r>
          </w:p>
        </w:tc>
        <w:tc>
          <w:tcPr>
            <w:tcW w:w="673" w:type="dxa"/>
            <w:vAlign w:val="center"/>
          </w:tcPr>
          <w:p w:rsidR="00B63D38" w:rsidRPr="004370EE" w:rsidRDefault="00945478" w:rsidP="004370EE">
            <w:pPr>
              <w:widowControl/>
              <w:spacing w:line="0" w:lineRule="atLeast"/>
              <w:jc w:val="center"/>
              <w:rPr>
                <w:rFonts w:ascii="仿宋_GB2312" w:eastAsia="仿宋_GB2312" w:hAnsi="宋体" w:cs="宋体"/>
                <w:color w:val="000000"/>
                <w:kern w:val="0"/>
                <w:sz w:val="15"/>
                <w:szCs w:val="21"/>
              </w:rPr>
            </w:pPr>
            <w:r w:rsidRPr="004370EE">
              <w:rPr>
                <w:rFonts w:ascii="仿宋_GB2312" w:eastAsia="仿宋_GB2312" w:hAnsi="宋体" w:cs="宋体" w:hint="eastAsia"/>
                <w:color w:val="000000"/>
                <w:kern w:val="0"/>
                <w:sz w:val="15"/>
                <w:szCs w:val="21"/>
              </w:rPr>
              <w:t>100</w:t>
            </w:r>
          </w:p>
        </w:tc>
        <w:tc>
          <w:tcPr>
            <w:tcW w:w="1011" w:type="dxa"/>
            <w:vAlign w:val="center"/>
          </w:tcPr>
          <w:p w:rsidR="00B63D38" w:rsidRPr="004370EE" w:rsidRDefault="00B63D38" w:rsidP="004370EE">
            <w:pPr>
              <w:widowControl/>
              <w:spacing w:line="0" w:lineRule="atLeast"/>
              <w:jc w:val="center"/>
              <w:rPr>
                <w:rFonts w:ascii="仿宋_GB2312" w:eastAsia="仿宋_GB2312" w:hAnsi="宋体" w:cs="宋体"/>
                <w:kern w:val="0"/>
                <w:sz w:val="15"/>
                <w:szCs w:val="21"/>
              </w:rPr>
            </w:pPr>
          </w:p>
        </w:tc>
      </w:tr>
    </w:tbl>
    <w:p w:rsidR="00B63D38" w:rsidRDefault="00B63D38">
      <w:pPr>
        <w:rPr>
          <w:rFonts w:ascii="仿宋_GB2312" w:eastAsia="仿宋_GB2312"/>
          <w:vanish/>
          <w:sz w:val="32"/>
          <w:szCs w:val="32"/>
        </w:rPr>
      </w:pPr>
    </w:p>
    <w:p w:rsidR="00B63D38" w:rsidRDefault="00B63D38">
      <w:pPr>
        <w:widowControl/>
        <w:jc w:val="left"/>
        <w:rPr>
          <w:rFonts w:ascii="仿宋_GB2312" w:eastAsia="仿宋_GB2312" w:hAnsi="宋体" w:cs="宋体"/>
          <w:color w:val="000000"/>
          <w:kern w:val="0"/>
          <w:sz w:val="32"/>
          <w:szCs w:val="32"/>
        </w:rPr>
      </w:pPr>
    </w:p>
    <w:p w:rsidR="00B63D38" w:rsidRDefault="00B63D38"/>
    <w:sectPr w:rsidR="00B63D38" w:rsidSect="00EB0C45">
      <w:pgSz w:w="11906" w:h="16838"/>
      <w:pgMar w:top="1440" w:right="1701" w:bottom="1134" w:left="1701"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573221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0EE" w:rsidRDefault="004370EE" w:rsidP="004370EE">
      <w:r>
        <w:separator/>
      </w:r>
    </w:p>
  </w:endnote>
  <w:endnote w:type="continuationSeparator" w:id="1">
    <w:p w:rsidR="004370EE" w:rsidRDefault="004370EE" w:rsidP="004370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0EE" w:rsidRDefault="004370EE" w:rsidP="004370EE">
      <w:r>
        <w:separator/>
      </w:r>
    </w:p>
  </w:footnote>
  <w:footnote w:type="continuationSeparator" w:id="1">
    <w:p w:rsidR="004370EE" w:rsidRDefault="004370EE" w:rsidP="004370EE">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629253743">
    <w15:presenceInfo w15:providerId="WPS Office" w15:userId="35065320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2C82"/>
    <w:rsid w:val="00013C39"/>
    <w:rsid w:val="00021A98"/>
    <w:rsid w:val="00093DBE"/>
    <w:rsid w:val="00114543"/>
    <w:rsid w:val="001B755D"/>
    <w:rsid w:val="001E595A"/>
    <w:rsid w:val="00230BBF"/>
    <w:rsid w:val="002349E0"/>
    <w:rsid w:val="00252E27"/>
    <w:rsid w:val="003435ED"/>
    <w:rsid w:val="00390C4C"/>
    <w:rsid w:val="003A7B04"/>
    <w:rsid w:val="004370EE"/>
    <w:rsid w:val="0045622B"/>
    <w:rsid w:val="0048523A"/>
    <w:rsid w:val="004D74BB"/>
    <w:rsid w:val="004E2AE2"/>
    <w:rsid w:val="00512C82"/>
    <w:rsid w:val="00513F7A"/>
    <w:rsid w:val="005166CE"/>
    <w:rsid w:val="00567AA3"/>
    <w:rsid w:val="00614DB5"/>
    <w:rsid w:val="00627B5C"/>
    <w:rsid w:val="00676898"/>
    <w:rsid w:val="006914D1"/>
    <w:rsid w:val="006D54BB"/>
    <w:rsid w:val="00703D46"/>
    <w:rsid w:val="00737CFF"/>
    <w:rsid w:val="007B1BFC"/>
    <w:rsid w:val="007C223F"/>
    <w:rsid w:val="007C3825"/>
    <w:rsid w:val="00812B58"/>
    <w:rsid w:val="008467CF"/>
    <w:rsid w:val="008D5186"/>
    <w:rsid w:val="00945478"/>
    <w:rsid w:val="00996DEB"/>
    <w:rsid w:val="009F097C"/>
    <w:rsid w:val="00A072CF"/>
    <w:rsid w:val="00A36279"/>
    <w:rsid w:val="00A458DD"/>
    <w:rsid w:val="00A84512"/>
    <w:rsid w:val="00A952A3"/>
    <w:rsid w:val="00B06D5D"/>
    <w:rsid w:val="00B63D38"/>
    <w:rsid w:val="00C11447"/>
    <w:rsid w:val="00CE49C2"/>
    <w:rsid w:val="00D76E5D"/>
    <w:rsid w:val="00DD0D2D"/>
    <w:rsid w:val="00E524E9"/>
    <w:rsid w:val="00E54DC4"/>
    <w:rsid w:val="00E75BC4"/>
    <w:rsid w:val="00E80B54"/>
    <w:rsid w:val="00EA1295"/>
    <w:rsid w:val="00EB0C45"/>
    <w:rsid w:val="00F556F8"/>
    <w:rsid w:val="00F6270E"/>
    <w:rsid w:val="00FA0B5A"/>
    <w:rsid w:val="2648765D"/>
    <w:rsid w:val="4B02106B"/>
    <w:rsid w:val="4EDE220F"/>
    <w:rsid w:val="79667E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B5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E80B54"/>
    <w:pPr>
      <w:jc w:val="left"/>
    </w:pPr>
  </w:style>
  <w:style w:type="paragraph" w:styleId="a4">
    <w:name w:val="Balloon Text"/>
    <w:basedOn w:val="a"/>
    <w:link w:val="Char0"/>
    <w:uiPriority w:val="99"/>
    <w:semiHidden/>
    <w:unhideWhenUsed/>
    <w:rsid w:val="00E80B54"/>
    <w:rPr>
      <w:sz w:val="18"/>
      <w:szCs w:val="18"/>
    </w:rPr>
  </w:style>
  <w:style w:type="paragraph" w:styleId="a5">
    <w:name w:val="footer"/>
    <w:basedOn w:val="a"/>
    <w:link w:val="Char1"/>
    <w:uiPriority w:val="99"/>
    <w:semiHidden/>
    <w:unhideWhenUsed/>
    <w:rsid w:val="00E80B54"/>
    <w:pPr>
      <w:tabs>
        <w:tab w:val="center" w:pos="4153"/>
        <w:tab w:val="right" w:pos="8306"/>
      </w:tabs>
      <w:snapToGrid w:val="0"/>
      <w:jc w:val="left"/>
    </w:pPr>
    <w:rPr>
      <w:sz w:val="18"/>
      <w:szCs w:val="18"/>
    </w:rPr>
  </w:style>
  <w:style w:type="paragraph" w:styleId="a6">
    <w:name w:val="header"/>
    <w:basedOn w:val="a"/>
    <w:link w:val="Char2"/>
    <w:uiPriority w:val="99"/>
    <w:semiHidden/>
    <w:unhideWhenUsed/>
    <w:rsid w:val="00E80B54"/>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E80B54"/>
    <w:rPr>
      <w:b/>
      <w:bCs/>
    </w:rPr>
  </w:style>
  <w:style w:type="character" w:styleId="a8">
    <w:name w:val="annotation reference"/>
    <w:basedOn w:val="a0"/>
    <w:uiPriority w:val="99"/>
    <w:semiHidden/>
    <w:unhideWhenUsed/>
    <w:rsid w:val="00E80B54"/>
    <w:rPr>
      <w:sz w:val="21"/>
      <w:szCs w:val="21"/>
    </w:rPr>
  </w:style>
  <w:style w:type="character" w:customStyle="1" w:styleId="Char2">
    <w:name w:val="页眉 Char"/>
    <w:basedOn w:val="a0"/>
    <w:link w:val="a6"/>
    <w:uiPriority w:val="99"/>
    <w:semiHidden/>
    <w:rsid w:val="00E80B54"/>
    <w:rPr>
      <w:sz w:val="18"/>
      <w:szCs w:val="18"/>
    </w:rPr>
  </w:style>
  <w:style w:type="character" w:customStyle="1" w:styleId="Char1">
    <w:name w:val="页脚 Char"/>
    <w:basedOn w:val="a0"/>
    <w:link w:val="a5"/>
    <w:uiPriority w:val="99"/>
    <w:semiHidden/>
    <w:rsid w:val="00E80B54"/>
    <w:rPr>
      <w:sz w:val="18"/>
      <w:szCs w:val="18"/>
    </w:rPr>
  </w:style>
  <w:style w:type="character" w:customStyle="1" w:styleId="Char0">
    <w:name w:val="批注框文本 Char"/>
    <w:basedOn w:val="a0"/>
    <w:link w:val="a4"/>
    <w:uiPriority w:val="99"/>
    <w:semiHidden/>
    <w:rsid w:val="00E80B54"/>
    <w:rPr>
      <w:rFonts w:ascii="Times New Roman" w:hAnsi="Times New Roman"/>
      <w:kern w:val="2"/>
      <w:sz w:val="18"/>
      <w:szCs w:val="18"/>
    </w:rPr>
  </w:style>
  <w:style w:type="character" w:customStyle="1" w:styleId="Char">
    <w:name w:val="批注文字 Char"/>
    <w:basedOn w:val="a0"/>
    <w:link w:val="a3"/>
    <w:uiPriority w:val="99"/>
    <w:semiHidden/>
    <w:rsid w:val="00E80B54"/>
    <w:rPr>
      <w:rFonts w:ascii="Times New Roman" w:hAnsi="Times New Roman"/>
      <w:kern w:val="2"/>
      <w:sz w:val="21"/>
      <w:szCs w:val="24"/>
    </w:rPr>
  </w:style>
  <w:style w:type="character" w:customStyle="1" w:styleId="Char3">
    <w:name w:val="批注主题 Char"/>
    <w:basedOn w:val="Char"/>
    <w:link w:val="a7"/>
    <w:uiPriority w:val="99"/>
    <w:semiHidden/>
    <w:rsid w:val="00E80B54"/>
    <w:rPr>
      <w:rFonts w:ascii="Times New Roman" w:hAnsi="Times New Roman"/>
      <w:b/>
      <w:bCs/>
      <w:kern w:val="2"/>
      <w:sz w:val="21"/>
      <w:szCs w:val="24"/>
    </w:rPr>
  </w:style>
  <w:style w:type="paragraph" w:styleId="a9">
    <w:name w:val="Document Map"/>
    <w:basedOn w:val="a"/>
    <w:link w:val="Char4"/>
    <w:uiPriority w:val="99"/>
    <w:semiHidden/>
    <w:unhideWhenUsed/>
    <w:rsid w:val="00EB0C45"/>
    <w:rPr>
      <w:rFonts w:ascii="宋体"/>
      <w:sz w:val="18"/>
      <w:szCs w:val="18"/>
    </w:rPr>
  </w:style>
  <w:style w:type="character" w:customStyle="1" w:styleId="Char4">
    <w:name w:val="文档结构图 Char"/>
    <w:basedOn w:val="a0"/>
    <w:link w:val="a9"/>
    <w:uiPriority w:val="99"/>
    <w:semiHidden/>
    <w:rsid w:val="00EB0C45"/>
    <w:rPr>
      <w:rFonts w:ascii="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3183</Words>
  <Characters>414</Characters>
  <Application>Microsoft Office Word</Application>
  <DocSecurity>0</DocSecurity>
  <Lines>3</Lines>
  <Paragraphs>7</Paragraphs>
  <ScaleCrop>false</ScaleCrop>
  <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赵丹丹</cp:lastModifiedBy>
  <cp:revision>8</cp:revision>
  <dcterms:created xsi:type="dcterms:W3CDTF">2021-03-25T08:20:00Z</dcterms:created>
  <dcterms:modified xsi:type="dcterms:W3CDTF">2021-08-25T10:02:00Z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8B6B284206944097B1AAC2DB2C408ADF</vt:lpwstr>
  </property>
</Properties>
</file>