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《北京市专利代理机构涉外服务规范指引》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解读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Times New Roman"/>
          <w:sz w:val="32"/>
          <w:lang w:eastAsia="zh-CN"/>
        </w:rPr>
        <w:t>日前，</w:t>
      </w:r>
      <w:r>
        <w:rPr>
          <w:rFonts w:ascii="仿宋" w:hAnsi="仿宋" w:eastAsia="仿宋" w:cs="Times New Roman"/>
          <w:sz w:val="32"/>
        </w:rPr>
        <w:t>北京市知识产权局</w:t>
      </w:r>
      <w:r>
        <w:rPr>
          <w:rFonts w:hint="eastAsia" w:eastAsia="仿宋"/>
          <w:sz w:val="32"/>
          <w:szCs w:val="32"/>
          <w:lang w:eastAsia="zh-CN"/>
        </w:rPr>
        <w:t>编制了</w:t>
      </w:r>
      <w:r>
        <w:rPr>
          <w:rFonts w:ascii="仿宋" w:hAnsi="仿宋" w:eastAsia="仿宋" w:cs="Times New Roman"/>
          <w:sz w:val="32"/>
        </w:rPr>
        <w:t>《北京市</w:t>
      </w:r>
      <w:r>
        <w:rPr>
          <w:rFonts w:hint="eastAsia" w:ascii="仿宋" w:hAnsi="仿宋" w:eastAsia="仿宋" w:cs="Times New Roman"/>
          <w:sz w:val="32"/>
          <w:lang w:eastAsia="zh-CN"/>
        </w:rPr>
        <w:t>专利代理机构涉外服务规范指引</w:t>
      </w:r>
      <w:r>
        <w:rPr>
          <w:rFonts w:ascii="仿宋" w:hAnsi="仿宋" w:eastAsia="仿宋" w:cs="Times New Roman"/>
          <w:sz w:val="32"/>
        </w:rPr>
        <w:t>》</w:t>
      </w:r>
      <w:r>
        <w:rPr>
          <w:rFonts w:hint="eastAsia" w:ascii="仿宋" w:hAnsi="仿宋" w:eastAsia="仿宋" w:cs="Times New Roman"/>
          <w:sz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lang w:val="en-US" w:eastAsia="zh-CN"/>
        </w:rPr>
        <w:t>以下简称“指引”</w:t>
      </w:r>
      <w:r>
        <w:rPr>
          <w:rFonts w:hint="eastAsia" w:ascii="仿宋" w:hAnsi="仿宋" w:eastAsia="仿宋" w:cs="Times New Roman"/>
          <w:sz w:val="32"/>
          <w:lang w:eastAsia="zh-CN"/>
        </w:rPr>
        <w:t>）</w:t>
      </w:r>
      <w:r>
        <w:rPr>
          <w:rFonts w:ascii="仿宋" w:hAnsi="仿宋" w:eastAsia="仿宋" w:cs="Times New Roman"/>
          <w:sz w:val="32"/>
        </w:rPr>
        <w:t>，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供专利代理机构使用</w:t>
      </w:r>
      <w:r>
        <w:rPr>
          <w:rFonts w:hint="eastAsia" w:ascii="仿宋" w:hAnsi="仿宋" w:eastAsia="仿宋" w:cs="Times New Roman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一、出台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>的主要背景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i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《知识产权强国建设纲要（2021-2035年）》提出要培育国际化、市场化、专业化知识产权服务机构；《“十四五”国家知识产权保护和运用规划》提出要培育发展知识产权服务业，引导知识产权代理、法律、信息、咨询、运营服务向专业化和高水平发展；《北京市“十四五”时期知识产权发展规划》提出要推动知识产权服务业国际化发展，建立重要市场国优质知识产权服务资源对接机制，提升知识产权国际服务水平。北京市知识产权局编制《指引》旨在规范专利代理机构涉外服务行为，提升北京市专利代理机构涉外服务水平，促进专利代理机构涉外服务的健康发展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编制《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 xml:space="preserve">的依据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《知识产权强国建设纲要（2021-2035年）》《“十四五”国家知识产权保护和运用规划》和</w:t>
      </w:r>
      <w:r>
        <w:rPr>
          <w:rFonts w:ascii="仿宋" w:hAnsi="仿宋" w:eastAsia="仿宋" w:cs="Times New Roman"/>
          <w:sz w:val="32"/>
        </w:rPr>
        <w:t>《北京市“十四五”时期知识产权发展规划》</w:t>
      </w:r>
      <w:r>
        <w:rPr>
          <w:rFonts w:hint="eastAsia" w:ascii="仿宋" w:hAnsi="仿宋" w:eastAsia="仿宋" w:cs="Times New Roman"/>
          <w:sz w:val="32"/>
          <w:lang w:eastAsia="zh-CN"/>
        </w:rPr>
        <w:t>为知识产权服务业发展工作做出明确部署，《中华人民共和国民法典》《中华人民共和国专利法》为专利代理机构涉外工作提供基本法律保障。《专利代理条例》《专利代理管理办法》</w:t>
      </w:r>
      <w:r>
        <w:rPr>
          <w:rFonts w:hint="eastAsia" w:ascii="仿宋" w:hAnsi="仿宋" w:eastAsia="仿宋" w:cs="Times New Roman"/>
          <w:sz w:val="32"/>
          <w:lang w:val="en-US" w:eastAsia="zh-CN"/>
        </w:rPr>
        <w:t>设置专利代理机构涉外服务</w:t>
      </w:r>
      <w:r>
        <w:rPr>
          <w:rFonts w:ascii="仿宋" w:hAnsi="仿宋" w:eastAsia="仿宋" w:cs="Times New Roman"/>
          <w:sz w:val="32"/>
        </w:rPr>
        <w:t>专</w:t>
      </w:r>
      <w:r>
        <w:rPr>
          <w:rFonts w:hint="eastAsia" w:ascii="仿宋" w:hAnsi="仿宋" w:eastAsia="仿宋" w:cs="Times New Roman"/>
          <w:sz w:val="32"/>
          <w:lang w:eastAsia="zh-CN"/>
        </w:rPr>
        <w:t>门内容。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《指引》的内容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kern w:val="1"/>
          <w:sz w:val="32"/>
          <w:szCs w:val="32"/>
          <w:lang w:eastAsia="zh-CN"/>
        </w:rPr>
        <w:t>《指引》共计四十二条，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包括总则、外向内专利服务、内向外专利服务、附则四个部分。其中：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总则（第一条至第三条），包括制定本指引的目的、适用范围和原则。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外向内专利服务（第四条至第二十一条）包括三个部分。第一部分外向内专利代理（第四条至第九条）包括接受委托、案件基本信息的确定、立案、申请文件的准备、提交文件的制作、提交后续工作六个内容；第二部分外向内专利争议代理（第十条至第十六条）包括外向内专利争议的范围、接受委托、案件基本信息的确定、立案、专利争议应对的准备、专利纠纷处理的参与、专利纠纷处理结果的通知和后续工作七个内容；第三部分其他外向内专利事务（第十七条至第二十一条）包括外向内专利事务的范围、接受委托、立案和准备工作、设计作业方案和执行、出具报告五个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28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内向外专利服务（第二十二条至第四十条）包括三个部分。第一部分内向外专利代理（第二十二条至第二十八条）包括接受委托、立案、境外专利代理机构的选择、保密审查请求、申请文件的准备、申请文件的提交、提交后续工作七个内容；第二部分内向外专利争议代理（第二十九条至第三十五条）包括内向外专利争议的范围、接受委托、案件基本信息的确定、立案、专利争议应对的准备、专利纠纷处理的参与、专利纠纷处理结果的通知和后续工作七个内容；第三部分其他内向外专利事务（第三十六条至第四十条）包括内向外专利事务的范围、接受委托、立案和准备工作、设计作业方案和执行、出具报告五个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28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附则（第四十一条至第四十二条），包括指引未尽事项处理原则和施行时间。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四、《指引》的使用</w:t>
      </w:r>
    </w:p>
    <w:p>
      <w:pPr>
        <w:pStyle w:val="9"/>
      </w:pPr>
      <w:r>
        <w:rPr>
          <w:rFonts w:hint="eastAsia" w:ascii="仿宋" w:hAnsi="仿宋" w:eastAsia="仿宋" w:cs="Times New Roman"/>
          <w:sz w:val="32"/>
          <w:lang w:eastAsia="zh-CN"/>
        </w:rPr>
        <w:t>专利代理机构在提供涉外服务时，应当符合《中华人民共和国民法典》《中华人民共和国专利法》《专利代理条例》《专利代理管理办法》等法律法规及相关部门规章的有关规定。本次发布的工作指引，是本市相关部门为帮助专利代理机构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</w:rPr>
        <w:t>提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  <w:lang w:eastAsia="zh-CN"/>
        </w:rPr>
        <w:t>升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</w:rPr>
        <w:t>涉外</w:t>
      </w:r>
      <w:r>
        <w:rPr>
          <w:rFonts w:ascii="仿宋" w:hAnsi="仿宋" w:eastAsia="仿宋"/>
          <w:b w:val="0"/>
          <w:bCs w:val="0"/>
          <w:kern w:val="1"/>
          <w:sz w:val="32"/>
          <w:szCs w:val="32"/>
        </w:rPr>
        <w:t>服务质量，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</w:rPr>
        <w:t>维护委托人</w:t>
      </w:r>
      <w:r>
        <w:rPr>
          <w:rFonts w:ascii="仿宋" w:hAnsi="仿宋" w:eastAsia="仿宋"/>
          <w:b w:val="0"/>
          <w:bCs w:val="0"/>
          <w:kern w:val="1"/>
          <w:sz w:val="32"/>
          <w:szCs w:val="32"/>
        </w:rPr>
        <w:t>的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</w:rPr>
        <w:t>利益</w:t>
      </w:r>
      <w:r>
        <w:rPr>
          <w:rFonts w:ascii="仿宋" w:hAnsi="仿宋" w:eastAsia="仿宋"/>
          <w:b w:val="0"/>
          <w:bCs w:val="0"/>
          <w:kern w:val="1"/>
          <w:sz w:val="32"/>
          <w:szCs w:val="32"/>
        </w:rPr>
        <w:t>，</w:t>
      </w:r>
      <w:r>
        <w:rPr>
          <w:rFonts w:hint="eastAsia" w:ascii="仿宋" w:hAnsi="仿宋" w:eastAsia="仿宋"/>
          <w:b w:val="0"/>
          <w:bCs w:val="0"/>
          <w:kern w:val="1"/>
          <w:sz w:val="32"/>
          <w:szCs w:val="32"/>
        </w:rPr>
        <w:t>促进专利代理机构的国际化发展</w:t>
      </w:r>
      <w:r>
        <w:rPr>
          <w:rFonts w:hint="eastAsia" w:ascii="仿宋" w:hAnsi="仿宋" w:eastAsia="仿宋" w:cs="Times New Roman"/>
          <w:sz w:val="32"/>
          <w:lang w:eastAsia="zh-CN"/>
        </w:rPr>
        <w:t>提供的公共服务产品，既非具有约束力、应当执行的规章制度，也不构成具体的规范性文件，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本指引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未明确的事项，按照有关规定、指南等执行。</w:t>
      </w:r>
      <w:r>
        <w:rPr>
          <w:rFonts w:hint="eastAsia" w:ascii="仿宋" w:hAnsi="仿宋" w:eastAsia="仿宋" w:cs="Times New Roman"/>
          <w:sz w:val="32"/>
          <w:lang w:eastAsia="zh-CN"/>
        </w:rPr>
        <w:t>专利代理机构可以根据自身实际情况，参考选用指引部分内容，构建形成符合企业实际的涉外专利代理服务体系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0985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E0EB8"/>
    <w:multiLevelType w:val="singleLevel"/>
    <w:tmpl w:val="F93E0E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YTgxOWNmZDkyZWMyNzc4NzdhNjdiMDg1ZDczNTUifQ=="/>
  </w:docVars>
  <w:rsids>
    <w:rsidRoot w:val="00EE5A19"/>
    <w:rsid w:val="00187EB4"/>
    <w:rsid w:val="00191F26"/>
    <w:rsid w:val="00752317"/>
    <w:rsid w:val="009E0E74"/>
    <w:rsid w:val="00DD63FF"/>
    <w:rsid w:val="00EE5A19"/>
    <w:rsid w:val="00FB723E"/>
    <w:rsid w:val="1FCC031E"/>
    <w:rsid w:val="2FA46201"/>
    <w:rsid w:val="37B561DB"/>
    <w:rsid w:val="3FF7BD69"/>
    <w:rsid w:val="4549240A"/>
    <w:rsid w:val="5AA70BB8"/>
    <w:rsid w:val="5B7F68C4"/>
    <w:rsid w:val="5BFF211D"/>
    <w:rsid w:val="5F5A1FCD"/>
    <w:rsid w:val="5F7BF58A"/>
    <w:rsid w:val="64FEF710"/>
    <w:rsid w:val="65F06256"/>
    <w:rsid w:val="69D306AC"/>
    <w:rsid w:val="6A4D0376"/>
    <w:rsid w:val="6FF68746"/>
    <w:rsid w:val="6FF9E4D2"/>
    <w:rsid w:val="6FFDE202"/>
    <w:rsid w:val="76F9DDC9"/>
    <w:rsid w:val="7BBFCCD4"/>
    <w:rsid w:val="7BDDE251"/>
    <w:rsid w:val="7DBD2B44"/>
    <w:rsid w:val="7EF96D02"/>
    <w:rsid w:val="7F6FA625"/>
    <w:rsid w:val="7FFF52D0"/>
    <w:rsid w:val="8EEF7169"/>
    <w:rsid w:val="B7ED314F"/>
    <w:rsid w:val="C97F4938"/>
    <w:rsid w:val="D6FEE8A7"/>
    <w:rsid w:val="DFDC0F95"/>
    <w:rsid w:val="E1FEC28D"/>
    <w:rsid w:val="EFFEB51A"/>
    <w:rsid w:val="FB71E7C5"/>
    <w:rsid w:val="FEC353BE"/>
    <w:rsid w:val="FEFF2844"/>
    <w:rsid w:val="FF5FD754"/>
    <w:rsid w:val="FF7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keepLines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/>
      <w:b/>
      <w:bCs/>
      <w:sz w:val="4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Text"/>
    <w:basedOn w:val="1"/>
    <w:next w:val="3"/>
    <w:qFormat/>
    <w:uiPriority w:val="0"/>
    <w:pPr>
      <w:spacing w:line="596" w:lineRule="exact"/>
      <w:ind w:firstLine="640"/>
      <w:textAlignment w:val="baseline"/>
    </w:pPr>
    <w:rPr>
      <w:rFonts w:ascii="宋体" w:hAnsi="宋体" w:eastAsia="宋体"/>
      <w:spacing w:val="-2"/>
      <w:kern w:val="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6</TotalTime>
  <ScaleCrop>false</ScaleCrop>
  <LinksUpToDate>false</LinksUpToDate>
  <CharactersWithSpaces>1563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2023-12-03T07:10:00Z</dcterms:created>
  <dc:creator>Bing</dc:creator>
  <cp:lastModifiedBy>user</cp:lastModifiedBy>
  <dcterms:modified xsi:type="dcterms:W3CDTF">2024-07-02T09:57:43Z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5B26455510274A2B8821F92A28B7CCA7_13</vt:lpwstr>
  </property>
</Properties>
</file>