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bCs/>
          <w:sz w:val="32"/>
          <w:szCs w:val="32"/>
        </w:rPr>
      </w:pPr>
      <w:bookmarkStart w:id="0" w:name="_GoBack"/>
      <w:bookmarkEnd w:id="0"/>
      <w:r>
        <w:rPr>
          <w:rFonts w:hint="eastAsia" w:ascii="黑体" w:hAnsi="黑体" w:eastAsia="黑体"/>
          <w:bCs/>
          <w:sz w:val="32"/>
          <w:szCs w:val="32"/>
        </w:rPr>
        <w:t>附件5</w:t>
      </w:r>
    </w:p>
    <w:p>
      <w:pPr>
        <w:jc w:val="left"/>
        <w:rPr>
          <w:rFonts w:ascii="黑体" w:hAnsi="黑体" w:eastAsia="黑体"/>
          <w:bCs/>
          <w:sz w:val="32"/>
          <w:szCs w:val="32"/>
        </w:rPr>
      </w:pPr>
    </w:p>
    <w:p>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w:t>
      </w:r>
      <w:r>
        <w:rPr>
          <w:rFonts w:hint="eastAsia" w:ascii="方正小标宋简体" w:eastAsia="方正小标宋简体"/>
          <w:bCs/>
          <w:spacing w:val="-10"/>
          <w:sz w:val="44"/>
          <w:szCs w:val="44"/>
          <w:lang w:eastAsia="zh-CN"/>
        </w:rPr>
        <w:t>维权援助</w:t>
      </w:r>
      <w:r>
        <w:rPr>
          <w:rFonts w:hint="eastAsia" w:ascii="方正小标宋简体" w:eastAsia="方正小标宋简体"/>
          <w:bCs/>
          <w:spacing w:val="-10"/>
          <w:sz w:val="44"/>
          <w:szCs w:val="44"/>
        </w:rPr>
        <w:t>项目申报指南</w:t>
      </w:r>
    </w:p>
    <w:p>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w:t>
      </w:r>
      <w:r>
        <w:rPr>
          <w:rFonts w:hint="eastAsia" w:ascii="楷体_GB2312" w:eastAsia="楷体_GB2312"/>
          <w:b/>
          <w:bCs/>
          <w:snapToGrid w:val="0"/>
          <w:kern w:val="0"/>
          <w:sz w:val="32"/>
          <w:szCs w:val="32"/>
          <w:lang w:val="en-US" w:eastAsia="zh-CN"/>
        </w:rPr>
        <w:t>4</w:t>
      </w:r>
      <w:r>
        <w:rPr>
          <w:rFonts w:hint="eastAsia" w:ascii="楷体_GB2312" w:eastAsia="楷体_GB2312"/>
          <w:b/>
          <w:bCs/>
          <w:snapToGrid w:val="0"/>
          <w:kern w:val="0"/>
          <w:sz w:val="32"/>
          <w:szCs w:val="32"/>
        </w:rPr>
        <w:t>年）</w:t>
      </w:r>
    </w:p>
    <w:p>
      <w:pPr>
        <w:adjustRightInd w:val="0"/>
        <w:snapToGrid w:val="0"/>
        <w:spacing w:line="460" w:lineRule="exact"/>
        <w:ind w:firstLine="640"/>
        <w:jc w:val="center"/>
        <w:rPr>
          <w:rFonts w:ascii="仿宋_GB2312" w:eastAsia="仿宋_GB2312"/>
          <w:bCs/>
          <w:snapToGrid w:val="0"/>
          <w:kern w:val="0"/>
          <w:sz w:val="32"/>
          <w:szCs w:val="32"/>
        </w:rPr>
      </w:pP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pPr>
        <w:adjustRightInd w:val="0"/>
        <w:snapToGrid w:val="0"/>
        <w:spacing w:line="560" w:lineRule="exact"/>
        <w:ind w:firstLine="640" w:firstLineChars="200"/>
        <w:outlineLvl w:val="0"/>
        <w:rPr>
          <w:rFonts w:ascii="楷体_GB2312" w:eastAsia="楷体_GB2312"/>
          <w:b w:val="0"/>
          <w:bCs/>
          <w:snapToGrid w:val="0"/>
          <w:kern w:val="0"/>
          <w:sz w:val="32"/>
          <w:szCs w:val="32"/>
        </w:rPr>
      </w:pPr>
      <w:r>
        <w:rPr>
          <w:rFonts w:hint="eastAsia" w:ascii="楷体_GB2312" w:hAnsi="仿宋" w:eastAsia="楷体_GB2312" w:cs="仿宋"/>
          <w:b w:val="0"/>
          <w:bCs/>
          <w:snapToGrid w:val="0"/>
          <w:kern w:val="0"/>
          <w:sz w:val="32"/>
          <w:szCs w:val="32"/>
        </w:rPr>
        <w:t>（一）海外知识产权</w:t>
      </w:r>
      <w:r>
        <w:rPr>
          <w:rFonts w:hint="eastAsia" w:ascii="楷体_GB2312" w:hAnsi="仿宋" w:eastAsia="楷体_GB2312" w:cs="仿宋"/>
          <w:b w:val="0"/>
          <w:bCs/>
          <w:snapToGrid w:val="0"/>
          <w:kern w:val="0"/>
          <w:sz w:val="32"/>
          <w:szCs w:val="32"/>
          <w:lang w:eastAsia="zh-CN"/>
        </w:rPr>
        <w:t>维权援助</w:t>
      </w:r>
      <w:r>
        <w:rPr>
          <w:rFonts w:hint="eastAsia" w:ascii="楷体_GB2312" w:hAnsi="仿宋" w:eastAsia="楷体_GB2312" w:cs="仿宋"/>
          <w:b w:val="0"/>
          <w:bCs/>
          <w:snapToGrid w:val="0"/>
          <w:kern w:val="0"/>
          <w:sz w:val="32"/>
          <w:szCs w:val="32"/>
        </w:rPr>
        <w:t>项目应符合以下条件：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1</w:t>
      </w:r>
      <w:r>
        <w:rPr>
          <w:rFonts w:ascii="仿宋_GB2312" w:eastAsia="仿宋_GB2312"/>
          <w:sz w:val="32"/>
          <w:szCs w:val="32"/>
        </w:rPr>
        <w:t>.项目所涉及的海外知识产权纠纷</w:t>
      </w:r>
      <w:r>
        <w:rPr>
          <w:rFonts w:hint="eastAsia" w:ascii="仿宋_GB2312" w:eastAsia="仿宋_GB2312"/>
          <w:sz w:val="32"/>
          <w:szCs w:val="32"/>
        </w:rPr>
        <w:t>等</w:t>
      </w:r>
      <w:r>
        <w:rPr>
          <w:rFonts w:ascii="仿宋_GB2312" w:eastAsia="仿宋_GB2312"/>
          <w:sz w:val="32"/>
          <w:szCs w:val="32"/>
        </w:rPr>
        <w:t>重大事项</w:t>
      </w:r>
      <w:r>
        <w:rPr>
          <w:rFonts w:hint="eastAsia" w:ascii="仿宋_GB2312" w:eastAsia="仿宋_GB2312"/>
          <w:sz w:val="32"/>
          <w:szCs w:val="32"/>
        </w:rPr>
        <w:t>正在发生</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2.申请援助的纠纷等重大事项未获得本市其他部门市级财政资金援助，且不属于依据法律法规或政策文件规定不能予以援助的情形。</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（二）企事业单位需符合以下条件：</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w:t>
      </w:r>
      <w:r>
        <w:rPr>
          <w:rFonts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具备一定的国内外知识产权拥有量和较为完善的知识产权管理制度与工作体系；</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w:t>
      </w:r>
      <w:r>
        <w:rPr>
          <w:rFonts w:ascii="仿宋_GB2312" w:hAnsi="仿宋" w:eastAsia="仿宋_GB2312" w:cs="仿宋"/>
          <w:snapToGrid w:val="0"/>
          <w:kern w:val="0"/>
          <w:sz w:val="32"/>
          <w:szCs w:val="32"/>
        </w:rPr>
        <w:t>对海外维权工作有人员、经费等保障条件</w:t>
      </w:r>
      <w:r>
        <w:rPr>
          <w:rFonts w:hint="eastAsia" w:ascii="仿宋_GB2312" w:hAnsi="仿宋" w:eastAsia="仿宋_GB2312" w:cs="仿宋"/>
          <w:snapToGrid w:val="0"/>
          <w:kern w:val="0"/>
          <w:sz w:val="32"/>
          <w:szCs w:val="32"/>
        </w:rPr>
        <w:t>有一定的</w:t>
      </w:r>
      <w:r>
        <w:rPr>
          <w:rFonts w:ascii="仿宋_GB2312" w:hAnsi="仿宋" w:eastAsia="仿宋_GB2312" w:cs="仿宋"/>
          <w:snapToGrid w:val="0"/>
          <w:kern w:val="0"/>
          <w:sz w:val="32"/>
          <w:szCs w:val="32"/>
        </w:rPr>
        <w:t>投入</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4.在申请日之前的3年内未被列入严重违法失信黑名单，并且不存在其他失信行为。</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（三）社会组织需符合以下条件：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北京市行政区域内依法登记注册的行业协会、行业（产业）联盟等</w:t>
      </w:r>
      <w:r>
        <w:rPr>
          <w:rFonts w:hint="eastAsia" w:ascii="仿宋_GB2312" w:eastAsia="仿宋_GB2312"/>
          <w:sz w:val="32"/>
          <w:szCs w:val="32"/>
        </w:rPr>
        <w:t>社会组织</w:t>
      </w:r>
      <w:r>
        <w:rPr>
          <w:rFonts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对</w:t>
      </w:r>
      <w:r>
        <w:rPr>
          <w:rFonts w:hint="eastAsia" w:ascii="仿宋_GB2312" w:eastAsia="仿宋_GB2312"/>
          <w:sz w:val="32"/>
          <w:szCs w:val="32"/>
        </w:rPr>
        <w:t>海外</w:t>
      </w:r>
      <w:r>
        <w:rPr>
          <w:rFonts w:ascii="仿宋_GB2312" w:eastAsia="仿宋_GB2312"/>
          <w:sz w:val="32"/>
          <w:szCs w:val="32"/>
        </w:rPr>
        <w:t>维权工作有人员、经费等保障条件</w:t>
      </w:r>
      <w:r>
        <w:rPr>
          <w:rFonts w:hint="eastAsia" w:ascii="仿宋_GB2312" w:eastAsia="仿宋_GB2312"/>
          <w:sz w:val="32"/>
          <w:szCs w:val="32"/>
        </w:rPr>
        <w:t>有一定的</w:t>
      </w:r>
      <w:r>
        <w:rPr>
          <w:rFonts w:ascii="仿宋_GB2312" w:eastAsia="仿宋_GB2312"/>
          <w:sz w:val="32"/>
          <w:szCs w:val="32"/>
        </w:rPr>
        <w:t>投入；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有协助其会员处理知识产权纠纷的能力和良好工作经验</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4.在申请日之前的3年内未被列入严重违法失信社会组织黑名单，并且不存在其他失信行为。</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（四）知识产权服务机构需符合以下条件：</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北京市行政区域内依法登记注册的知识产权服务机构，具备相应的服务资质、涉外服务团队和专家资源</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具有合作良好的国外服务团队；</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具备承担援助项目的良好工作经验；</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使用合法来源的文献、数据库及信息资源开展服务</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5.在申请日之前的3年内未被列入严重违法失信企业、社会组织黑名单，并且不存在其他失信行为。</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二、申报及评审流程</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（一）项目申报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企事业单位或社会组织（简称“申请人”）需与知识产权服务机构（简称“实施方”）</w:t>
      </w:r>
      <w:r>
        <w:rPr>
          <w:rFonts w:hint="eastAsia" w:ascii="仿宋_GB2312" w:eastAsia="仿宋_GB2312"/>
          <w:b/>
          <w:sz w:val="32"/>
          <w:szCs w:val="32"/>
        </w:rPr>
        <w:t>联合申报。</w:t>
      </w:r>
      <w:r>
        <w:rPr>
          <w:rFonts w:hint="eastAsia" w:ascii="仿宋_GB2312" w:eastAsia="仿宋_GB2312"/>
          <w:b w:val="0"/>
          <w:bCs/>
          <w:sz w:val="32"/>
          <w:szCs w:val="32"/>
        </w:rPr>
        <w:t>当年</w:t>
      </w:r>
      <w:r>
        <w:rPr>
          <w:rFonts w:hint="eastAsia" w:ascii="仿宋_GB2312" w:eastAsia="仿宋_GB2312"/>
          <w:bCs/>
          <w:sz w:val="32"/>
          <w:szCs w:val="32"/>
        </w:rPr>
        <w:t>（202</w:t>
      </w:r>
      <w:r>
        <w:rPr>
          <w:rFonts w:hint="eastAsia" w:ascii="仿宋_GB2312" w:eastAsia="仿宋_GB2312"/>
          <w:bCs/>
          <w:sz w:val="32"/>
          <w:szCs w:val="32"/>
          <w:lang w:val="en-US" w:eastAsia="zh-CN"/>
        </w:rPr>
        <w:t>4</w:t>
      </w:r>
      <w:r>
        <w:rPr>
          <w:rFonts w:hint="eastAsia" w:ascii="仿宋_GB2312" w:eastAsia="仿宋_GB2312"/>
          <w:bCs/>
          <w:sz w:val="32"/>
          <w:szCs w:val="32"/>
        </w:rPr>
        <w:t>年）</w:t>
      </w:r>
      <w:r>
        <w:rPr>
          <w:rFonts w:hint="eastAsia" w:ascii="仿宋_GB2312" w:eastAsia="仿宋_GB2312"/>
          <w:b w:val="0"/>
          <w:bCs/>
          <w:sz w:val="32"/>
          <w:szCs w:val="32"/>
        </w:rPr>
        <w:t>内，</w:t>
      </w:r>
      <w:r>
        <w:rPr>
          <w:rFonts w:hint="eastAsia" w:ascii="仿宋_GB2312" w:eastAsia="仿宋_GB2312"/>
          <w:sz w:val="32"/>
          <w:szCs w:val="32"/>
        </w:rPr>
        <w:t>同一申请人和实施方均仅能就同一知识产权类型项目申报一次。</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（二）区级初审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hAnsi="仿宋" w:eastAsia="仿宋_GB2312" w:cs="仿宋"/>
          <w:snapToGrid w:val="0"/>
          <w:kern w:val="0"/>
          <w:sz w:val="32"/>
          <w:szCs w:val="32"/>
        </w:rPr>
        <w:t>且是否</w:t>
      </w:r>
      <w:r>
        <w:rPr>
          <w:rFonts w:hint="eastAsia" w:ascii="仿宋_GB2312" w:hAnsi="仿宋" w:eastAsia="仿宋_GB2312" w:cs="仿宋"/>
          <w:b/>
          <w:snapToGrid w:val="0"/>
          <w:kern w:val="0"/>
          <w:sz w:val="32"/>
          <w:szCs w:val="32"/>
        </w:rPr>
        <w:t>与知识产权服务机构联合申报</w:t>
      </w:r>
      <w:r>
        <w:rPr>
          <w:rFonts w:hint="eastAsia" w:ascii="仿宋_GB2312" w:eastAsia="仿宋_GB2312"/>
          <w:sz w:val="32"/>
          <w:szCs w:val="32"/>
        </w:rPr>
        <w:t>；</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（三）市级审核</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北京市知识产权公共服务中心对各区知识产权管理部门的初审情况进行审核、确认项目申请条件是否符合，确定进入维权援助专家评审会的项目。</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（四）项目评审</w:t>
      </w:r>
    </w:p>
    <w:p>
      <w:pPr>
        <w:adjustRightInd w:val="0"/>
        <w:snapToGrid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rPr>
        <w:t>北京市知识产权公共服务中心抽取专家，召开专家评审会，进行专家质询答辩。评审专家从项目必要性、项目实施方案、项目预期</w:t>
      </w:r>
      <w:r>
        <w:rPr>
          <w:rFonts w:hint="eastAsia" w:ascii="仿宋_GB2312" w:eastAsia="仿宋_GB2312"/>
          <w:sz w:val="32"/>
          <w:szCs w:val="32"/>
          <w:highlight w:val="none"/>
        </w:rPr>
        <w:t>效果、项目保障条件四个维度对项目进行评审。</w:t>
      </w:r>
    </w:p>
    <w:p>
      <w:pPr>
        <w:adjustRightInd w:val="0"/>
        <w:snapToGrid w:val="0"/>
        <w:spacing w:line="560" w:lineRule="exact"/>
        <w:ind w:firstLine="643" w:firstLineChars="200"/>
        <w:rPr>
          <w:rFonts w:ascii="仿宋_GB2312" w:eastAsia="仿宋_GB2312"/>
          <w:b/>
          <w:sz w:val="32"/>
          <w:szCs w:val="32"/>
          <w:highlight w:val="none"/>
        </w:rPr>
      </w:pPr>
      <w:r>
        <w:rPr>
          <w:rFonts w:hint="eastAsia" w:ascii="仿宋_GB2312" w:eastAsia="仿宋_GB2312"/>
          <w:b/>
          <w:sz w:val="32"/>
          <w:szCs w:val="32"/>
          <w:highlight w:val="none"/>
        </w:rPr>
        <w:t>同等条件下，符合以下条件之一的，优先给予援助：</w:t>
      </w:r>
    </w:p>
    <w:p>
      <w:pPr>
        <w:widowControl/>
        <w:adjustRightInd w:val="0"/>
        <w:snapToGrid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1.海外知识产权纠纷或事项涉及领域属于北京市国际科技创新中心建设、全国文化中心和“两区”建设的重点领域；</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2.海外知识产权纠纷或事项属于重大/疑难纠纷的；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前款所称的“重大/疑难”，是指影响本市产业发展、主体复杂、数额特别巨大或波及范围较广的纠纷；</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3.援助申请人属于中小微企业；</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4.援助申请人属于国家知识产权示范和优势企业、北京市知识产权示范和试点单位;</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5.其他可以优先给予援助的。</w:t>
      </w:r>
    </w:p>
    <w:p>
      <w:pPr>
        <w:widowControl/>
        <w:adjustRightInd w:val="0"/>
        <w:snapToGrid w:val="0"/>
        <w:spacing w:line="560" w:lineRule="exact"/>
        <w:ind w:firstLine="643" w:firstLineChars="200"/>
        <w:rPr>
          <w:rFonts w:ascii="仿宋_GB2312" w:eastAsia="仿宋_GB2312"/>
          <w:b/>
          <w:sz w:val="32"/>
          <w:szCs w:val="32"/>
        </w:rPr>
      </w:pPr>
      <w:r>
        <w:rPr>
          <w:rFonts w:hint="eastAsia" w:ascii="仿宋_GB2312" w:eastAsia="仿宋_GB2312"/>
          <w:b/>
          <w:sz w:val="32"/>
          <w:szCs w:val="32"/>
        </w:rPr>
        <w:t>对具有以下情形之一的，不予援助：</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1.申请人为非注册或登记在本市的企事业单位或社会组织；</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2.申请援助时海外知识产权纠纷等重大事项已经结束的，或申请援助的纠纷等重大事项已获得本市其他部门市级财政资金援助的；</w:t>
      </w:r>
    </w:p>
    <w:p>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3.申请人或实施方在申请日之前的3年内存在严重违法失信的；</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4.其他依据法律法规或政策文件规定不能予以援助的情形。</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（五）援助金额</w:t>
      </w:r>
    </w:p>
    <w:p>
      <w:pPr>
        <w:adjustRightInd w:val="0"/>
        <w:snapToGrid w:val="0"/>
        <w:spacing w:line="560" w:lineRule="exact"/>
        <w:ind w:firstLine="640" w:firstLineChars="200"/>
        <w:outlineLvl w:val="0"/>
        <w:rPr>
          <w:rFonts w:hint="eastAsia" w:ascii="仿宋_GB2312" w:eastAsia="仿宋_GB2312"/>
          <w:sz w:val="32"/>
          <w:szCs w:val="32"/>
        </w:rPr>
      </w:pPr>
      <w:r>
        <w:rPr>
          <w:rFonts w:hint="eastAsia" w:ascii="仿宋_GB2312" w:eastAsia="仿宋_GB2312"/>
          <w:sz w:val="32"/>
          <w:szCs w:val="32"/>
        </w:rPr>
        <w:t>海外知识产权</w:t>
      </w:r>
      <w:r>
        <w:rPr>
          <w:rFonts w:hint="eastAsia" w:ascii="仿宋_GB2312" w:eastAsia="仿宋_GB2312"/>
          <w:sz w:val="32"/>
          <w:szCs w:val="32"/>
          <w:lang w:eastAsia="zh-CN"/>
        </w:rPr>
        <w:t>维权援助</w:t>
      </w:r>
      <w:r>
        <w:rPr>
          <w:rFonts w:hint="eastAsia" w:ascii="仿宋_GB2312" w:eastAsia="仿宋_GB2312"/>
          <w:sz w:val="32"/>
          <w:szCs w:val="32"/>
        </w:rPr>
        <w:t>项目结合当年市财政预算经费批复情况，并按照以下标准给予资金扶持：</w:t>
      </w:r>
    </w:p>
    <w:p>
      <w:pPr>
        <w:adjustRightInd w:val="0"/>
        <w:snapToGrid w:val="0"/>
        <w:spacing w:line="560" w:lineRule="exact"/>
        <w:ind w:firstLine="640" w:firstLineChars="200"/>
        <w:outlineLvl w:val="0"/>
        <w:rPr>
          <w:rFonts w:hint="eastAsia" w:ascii="仿宋_GB2312" w:eastAsia="仿宋_GB2312"/>
          <w:sz w:val="32"/>
          <w:szCs w:val="32"/>
        </w:rPr>
      </w:pPr>
      <w:r>
        <w:rPr>
          <w:rFonts w:hint="eastAsia" w:ascii="仿宋_GB2312" w:eastAsia="仿宋_GB2312"/>
          <w:sz w:val="32"/>
          <w:szCs w:val="32"/>
          <w:lang w:val="en-US" w:eastAsia="zh-CN"/>
        </w:rPr>
        <w:t>1.</w:t>
      </w:r>
      <w:r>
        <w:rPr>
          <w:rFonts w:hint="eastAsia" w:ascii="仿宋_GB2312" w:eastAsia="仿宋_GB2312"/>
          <w:sz w:val="32"/>
          <w:szCs w:val="32"/>
        </w:rPr>
        <w:t>每件纠纷的援助金额不超过项目申请人申报金额，并且不超过项目申请人预估该海外纠纷应对成本的50%；</w:t>
      </w:r>
    </w:p>
    <w:p>
      <w:pPr>
        <w:adjustRightInd w:val="0"/>
        <w:snapToGrid w:val="0"/>
        <w:spacing w:line="560" w:lineRule="exact"/>
        <w:ind w:firstLine="640" w:firstLineChars="200"/>
        <w:outlineLvl w:val="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专利权项目每个援助金额一般不超过60万元，最高不超过120万元；商标权及地理标志类项目每个援助金额一般不超过18万元，最高不超过35万元。</w:t>
      </w:r>
    </w:p>
    <w:p>
      <w:pPr>
        <w:adjustRightInd w:val="0"/>
        <w:snapToGrid w:val="0"/>
        <w:spacing w:line="560" w:lineRule="exact"/>
        <w:ind w:firstLine="640" w:firstLineChars="200"/>
        <w:outlineLvl w:val="0"/>
        <w:rPr>
          <w:rFonts w:hint="eastAsia" w:ascii="仿宋_GB2312" w:eastAsia="仿宋_GB2312"/>
          <w:sz w:val="32"/>
          <w:szCs w:val="32"/>
        </w:rPr>
      </w:pPr>
      <w:r>
        <w:rPr>
          <w:rFonts w:hint="eastAsia" w:ascii="仿宋_GB2312" w:eastAsia="仿宋_GB2312"/>
          <w:sz w:val="32"/>
          <w:szCs w:val="32"/>
        </w:rPr>
        <w:t>同一申请人和实施方不同类型知识产权项目均确定给予援助的，按照从高不重复的原则予以支持。</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（六）结果公示</w:t>
      </w:r>
    </w:p>
    <w:p>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年海外知识产权</w:t>
      </w:r>
      <w:r>
        <w:rPr>
          <w:rFonts w:hint="eastAsia" w:ascii="仿宋_GB2312" w:eastAsia="仿宋_GB2312"/>
          <w:sz w:val="32"/>
          <w:szCs w:val="32"/>
          <w:lang w:eastAsia="zh-CN"/>
        </w:rPr>
        <w:t>维权援助</w:t>
      </w:r>
      <w:r>
        <w:rPr>
          <w:rFonts w:hint="eastAsia" w:ascii="仿宋_GB2312" w:eastAsia="仿宋_GB2312"/>
          <w:sz w:val="32"/>
          <w:szCs w:val="32"/>
        </w:rPr>
        <w:t>项目的评审结果在市知识产权局网站公示5个工作日。申报日至公示期满之日企事业单位或社会组织以及知识产权服务机构未被列入严重违法失信企业、社会组织黑名单也不存在其他失信行为，且公示期无异议的，确定给予援助。</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eastAsia="仿宋_GB2312"/>
          <w:sz w:val="32"/>
          <w:szCs w:val="32"/>
        </w:rPr>
        <w:t>如申报日至公示期满之日发现企事业单位、社会组织或联合申报的服务机构存在被列入严重违法失信企业、社会组织黑名单或存在其他失信行为的，取消援助资格。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三、申报材料及主要指标说明</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（一）企事业单位或社会组织需提交以下申请材料：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w:t>
      </w:r>
      <w:r>
        <w:rPr>
          <w:rFonts w:hint="eastAsia" w:ascii="仿宋_GB2312" w:hAnsi="仿宋" w:eastAsia="仿宋_GB2312" w:cs="仿宋"/>
          <w:snapToGrid w:val="0"/>
          <w:kern w:val="0"/>
          <w:sz w:val="32"/>
          <w:szCs w:val="32"/>
          <w:lang w:eastAsia="zh-CN"/>
        </w:rPr>
        <w:t>维权援助</w:t>
      </w:r>
      <w:r>
        <w:rPr>
          <w:rFonts w:hint="eastAsia" w:ascii="仿宋_GB2312" w:hAnsi="仿宋" w:eastAsia="仿宋_GB2312" w:cs="仿宋"/>
          <w:snapToGrid w:val="0"/>
          <w:kern w:val="0"/>
          <w:sz w:val="32"/>
          <w:szCs w:val="32"/>
        </w:rPr>
        <w:t>项目企事业单位</w:t>
      </w:r>
      <w:r>
        <w:rPr>
          <w:rFonts w:ascii="仿宋_GB2312" w:hAnsi="仿宋" w:eastAsia="仿宋_GB2312" w:cs="仿宋"/>
          <w:snapToGrid w:val="0"/>
          <w:kern w:val="0"/>
          <w:sz w:val="32"/>
          <w:szCs w:val="32"/>
        </w:rPr>
        <w:t>申报书》或《</w:t>
      </w:r>
      <w:r>
        <w:rPr>
          <w:rFonts w:hint="eastAsia" w:ascii="仿宋_GB2312" w:hAnsi="仿宋" w:eastAsia="仿宋_GB2312" w:cs="仿宋"/>
          <w:snapToGrid w:val="0"/>
          <w:kern w:val="0"/>
          <w:sz w:val="32"/>
          <w:szCs w:val="32"/>
        </w:rPr>
        <w:t>北京市海外知识产权</w:t>
      </w:r>
      <w:r>
        <w:rPr>
          <w:rFonts w:hint="eastAsia" w:ascii="仿宋_GB2312" w:hAnsi="仿宋" w:eastAsia="仿宋_GB2312" w:cs="仿宋"/>
          <w:snapToGrid w:val="0"/>
          <w:kern w:val="0"/>
          <w:sz w:val="32"/>
          <w:szCs w:val="32"/>
          <w:lang w:eastAsia="zh-CN"/>
        </w:rPr>
        <w:t>维权援助</w:t>
      </w:r>
      <w:r>
        <w:rPr>
          <w:rFonts w:hint="eastAsia" w:ascii="仿宋_GB2312" w:hAnsi="仿宋" w:eastAsia="仿宋_GB2312" w:cs="仿宋"/>
          <w:snapToGrid w:val="0"/>
          <w:kern w:val="0"/>
          <w:sz w:val="32"/>
          <w:szCs w:val="32"/>
        </w:rPr>
        <w:t>项目</w:t>
      </w:r>
      <w:r>
        <w:rPr>
          <w:rFonts w:ascii="仿宋_GB2312" w:hAnsi="仿宋" w:eastAsia="仿宋_GB2312" w:cs="仿宋"/>
          <w:snapToGrid w:val="0"/>
          <w:kern w:val="0"/>
          <w:sz w:val="32"/>
          <w:szCs w:val="32"/>
        </w:rPr>
        <w:t>社会组织申报书》</w:t>
      </w:r>
      <w:r>
        <w:rPr>
          <w:rFonts w:hint="eastAsia" w:ascii="仿宋_GB2312" w:hAnsi="仿宋" w:eastAsia="仿宋_GB2312" w:cs="仿宋"/>
          <w:snapToGrid w:val="0"/>
          <w:kern w:val="0"/>
          <w:sz w:val="32"/>
          <w:szCs w:val="32"/>
        </w:rPr>
        <w:t>（以下简称《企事业单位或社会组织项目申报书》）</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重大事项发生的材料:如侵权警告函、律师函、起诉状、禁令的复印件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（二）知识产权服务机构需提交以下申请材料：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w:t>
      </w:r>
      <w:r>
        <w:rPr>
          <w:rFonts w:hint="eastAsia" w:ascii="仿宋_GB2312" w:hAnsi="仿宋" w:eastAsia="仿宋_GB2312" w:cs="仿宋"/>
          <w:snapToGrid w:val="0"/>
          <w:kern w:val="0"/>
          <w:sz w:val="32"/>
          <w:szCs w:val="32"/>
          <w:lang w:eastAsia="zh-CN"/>
        </w:rPr>
        <w:t>维权援助</w:t>
      </w:r>
      <w:r>
        <w:rPr>
          <w:rFonts w:hint="eastAsia" w:ascii="仿宋_GB2312" w:hAnsi="仿宋" w:eastAsia="仿宋_GB2312" w:cs="仿宋"/>
          <w:snapToGrid w:val="0"/>
          <w:kern w:val="0"/>
          <w:sz w:val="32"/>
          <w:szCs w:val="32"/>
        </w:rPr>
        <w:t>项目知识产权</w:t>
      </w:r>
      <w:r>
        <w:rPr>
          <w:rFonts w:ascii="仿宋_GB2312" w:hAnsi="仿宋" w:eastAsia="仿宋_GB2312" w:cs="仿宋"/>
          <w:snapToGrid w:val="0"/>
          <w:kern w:val="0"/>
          <w:sz w:val="32"/>
          <w:szCs w:val="32"/>
        </w:rPr>
        <w:t>服务机构申报书》</w:t>
      </w:r>
      <w:r>
        <w:rPr>
          <w:rFonts w:hint="eastAsia" w:ascii="仿宋_GB2312" w:hAnsi="仿宋" w:eastAsia="仿宋_GB2312" w:cs="仿宋"/>
          <w:snapToGrid w:val="0"/>
          <w:kern w:val="0"/>
          <w:sz w:val="32"/>
          <w:szCs w:val="32"/>
        </w:rPr>
        <w:t>，</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（以下简称《服务机构项目申报书》）；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w:t>
      </w:r>
      <w:r>
        <w:rPr>
          <w:rFonts w:hint="eastAsia" w:ascii="仿宋_GB2312" w:hAnsi="仿宋" w:eastAsia="仿宋_GB2312" w:cs="仿宋"/>
          <w:snapToGrid w:val="0"/>
          <w:kern w:val="0"/>
          <w:sz w:val="32"/>
          <w:szCs w:val="32"/>
          <w:lang w:eastAsia="zh-CN"/>
        </w:rPr>
        <w:t>维权援助</w:t>
      </w:r>
      <w:r>
        <w:rPr>
          <w:rFonts w:hint="eastAsia" w:ascii="仿宋_GB2312" w:hAnsi="仿宋" w:eastAsia="仿宋_GB2312" w:cs="仿宋"/>
          <w:snapToGrid w:val="0"/>
          <w:kern w:val="0"/>
          <w:sz w:val="32"/>
          <w:szCs w:val="32"/>
        </w:rPr>
        <w:t>项目</w:t>
      </w:r>
      <w:r>
        <w:rPr>
          <w:rFonts w:ascii="仿宋_GB2312" w:hAnsi="仿宋" w:eastAsia="仿宋_GB2312" w:cs="仿宋"/>
          <w:snapToGrid w:val="0"/>
          <w:kern w:val="0"/>
          <w:sz w:val="32"/>
          <w:szCs w:val="32"/>
        </w:rPr>
        <w:t>实施方案》</w:t>
      </w:r>
      <w:r>
        <w:rPr>
          <w:rFonts w:hint="eastAsia" w:ascii="仿宋_GB2312" w:hAnsi="仿宋" w:eastAsia="仿宋_GB2312" w:cs="仿宋"/>
          <w:snapToGrid w:val="0"/>
          <w:kern w:val="0"/>
          <w:sz w:val="32"/>
          <w:szCs w:val="32"/>
        </w:rPr>
        <w:t>（以下简称《项目实施方案》，含预算表），</w:t>
      </w:r>
      <w:r>
        <w:rPr>
          <w:rFonts w:ascii="仿宋_GB2312" w:hAnsi="仿宋" w:eastAsia="仿宋_GB2312" w:cs="仿宋"/>
          <w:snapToGrid w:val="0"/>
          <w:kern w:val="0"/>
          <w:sz w:val="32"/>
          <w:szCs w:val="32"/>
        </w:rPr>
        <w:t>加盖</w:t>
      </w:r>
      <w:r>
        <w:rPr>
          <w:rFonts w:hint="eastAsia" w:ascii="仿宋_GB2312" w:hAnsi="仿宋" w:eastAsia="仿宋_GB2312" w:cs="仿宋"/>
          <w:snapToGrid w:val="0"/>
          <w:kern w:val="0"/>
          <w:sz w:val="32"/>
          <w:szCs w:val="32"/>
        </w:rPr>
        <w:t>企事业单位</w:t>
      </w:r>
      <w:r>
        <w:rPr>
          <w:rFonts w:ascii="仿宋_GB2312" w:hAnsi="仿宋" w:eastAsia="仿宋_GB2312" w:cs="仿宋"/>
          <w:snapToGrid w:val="0"/>
          <w:kern w:val="0"/>
          <w:sz w:val="32"/>
          <w:szCs w:val="32"/>
        </w:rPr>
        <w:t>或社会组织和服务机构双方公章</w:t>
      </w:r>
      <w:r>
        <w:rPr>
          <w:rFonts w:hint="eastAsia" w:ascii="仿宋_GB2312" w:hAnsi="仿宋" w:eastAsia="仿宋_GB2312" w:cs="仿宋"/>
          <w:snapToGrid w:val="0"/>
          <w:kern w:val="0"/>
          <w:sz w:val="32"/>
          <w:szCs w:val="32"/>
        </w:rPr>
        <w:t>。</w:t>
      </w:r>
    </w:p>
    <w:p>
      <w:pPr>
        <w:adjustRightInd w:val="0"/>
        <w:snapToGrid w:val="0"/>
        <w:spacing w:line="560" w:lineRule="exact"/>
        <w:ind w:firstLine="640" w:firstLineChars="200"/>
        <w:outlineLvl w:val="0"/>
        <w:rPr>
          <w:rFonts w:ascii="楷体_GB2312" w:hAnsi="仿宋" w:eastAsia="楷体_GB2312" w:cs="仿宋"/>
          <w:b w:val="0"/>
          <w:bCs/>
          <w:snapToGrid w:val="0"/>
          <w:kern w:val="0"/>
          <w:sz w:val="32"/>
          <w:szCs w:val="32"/>
        </w:rPr>
      </w:pPr>
      <w:r>
        <w:rPr>
          <w:rFonts w:hint="eastAsia" w:ascii="楷体_GB2312" w:hAnsi="仿宋" w:eastAsia="楷体_GB2312" w:cs="仿宋"/>
          <w:b w:val="0"/>
          <w:bCs/>
          <w:snapToGrid w:val="0"/>
          <w:kern w:val="0"/>
          <w:sz w:val="32"/>
          <w:szCs w:val="32"/>
        </w:rPr>
        <w:t>（三）《项目申报书》涉及的主要指标说明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1.项目名称格式（附件1、附件2）：“涉及纠纷的产品或技术”在“纠纷国家/地区”+“纠纷事项及类型”+“应对”，例如“传感器融合技术在德国专利侵权纠纷应对”。</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2.注册登记类型（附件1）：企业包括国有企业、集体企业、股份合作企业、联营企业、有限责任公司、股份有限公司、私营企业、港澳台商投资企业、外商投资企业、其他企业；事业单位包括高校、科研院所等。</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附件1）：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highlight w:val="none"/>
        </w:rPr>
        <w:t>4</w:t>
      </w:r>
      <w:r>
        <w:rPr>
          <w:rFonts w:ascii="仿宋_GB2312" w:hAnsi="仿宋" w:eastAsia="仿宋_GB2312" w:cs="仿宋"/>
          <w:snapToGrid w:val="0"/>
          <w:kern w:val="0"/>
          <w:sz w:val="32"/>
          <w:szCs w:val="32"/>
          <w:highlight w:val="none"/>
        </w:rPr>
        <w:t>.</w:t>
      </w:r>
      <w:r>
        <w:rPr>
          <w:rFonts w:hint="eastAsia" w:ascii="仿宋_GB2312" w:hAnsi="仿宋" w:eastAsia="仿宋_GB2312" w:cs="仿宋"/>
          <w:snapToGrid w:val="0"/>
          <w:kern w:val="0"/>
          <w:sz w:val="32"/>
          <w:szCs w:val="32"/>
          <w:highlight w:val="none"/>
        </w:rPr>
        <w:t>企业规模（附件1）：</w:t>
      </w:r>
      <w:r>
        <w:rPr>
          <w:rFonts w:hint="eastAsia" w:ascii="仿宋_GB2312" w:hAnsi="仿宋" w:eastAsia="仿宋_GB2312" w:cs="仿宋"/>
          <w:snapToGrid w:val="0"/>
          <w:kern w:val="0"/>
          <w:sz w:val="32"/>
          <w:szCs w:val="32"/>
        </w:rPr>
        <w:t>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《统计上大中小微型企业划分办法（2017）》对大型、中型、小型、微型企业进行划分。</w:t>
      </w:r>
    </w:p>
    <w:p>
      <w:pPr>
        <w:adjustRightInd w:val="0"/>
        <w:snapToGrid w:val="0"/>
        <w:spacing w:line="560" w:lineRule="exact"/>
        <w:ind w:firstLine="640" w:firstLineChars="200"/>
        <w:rPr>
          <w:rFonts w:hint="default" w:ascii="仿宋_GB2312" w:hAnsi="仿宋" w:eastAsia="仿宋_GB2312" w:cs="仿宋"/>
          <w:snapToGrid w:val="0"/>
          <w:kern w:val="0"/>
          <w:sz w:val="32"/>
          <w:szCs w:val="32"/>
          <w:lang w:val="en-US" w:eastAsia="zh-CN"/>
        </w:rPr>
      </w:pPr>
      <w:r>
        <w:rPr>
          <w:rFonts w:hint="eastAsia" w:ascii="仿宋_GB2312" w:hAnsi="仿宋" w:eastAsia="仿宋_GB2312" w:cs="仿宋"/>
          <w:snapToGrid w:val="0"/>
          <w:kern w:val="0"/>
          <w:sz w:val="32"/>
          <w:szCs w:val="32"/>
          <w:lang w:val="en-US" w:eastAsia="zh-CN"/>
        </w:rPr>
        <w:t>5.企业资质（附件1）：包括但不限于由工业和信息化部、国家知识产权局、北京市知识产权局等各级有关部门认定的国家级或北京市级专精特新“小巨人”企业、企业技术中心、知识产权示范企业、知识产权运营试点单位等表明企业在创新创造或对外贸易上具有优秀表现的资质证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lang w:val="en-US" w:eastAsia="zh-CN"/>
        </w:rPr>
        <w:t>6</w:t>
      </w:r>
      <w:r>
        <w:rPr>
          <w:rFonts w:hint="eastAsia" w:ascii="仿宋_GB2312" w:hAnsi="仿宋" w:eastAsia="仿宋_GB2312" w:cs="仿宋"/>
          <w:snapToGrid w:val="0"/>
          <w:kern w:val="0"/>
          <w:sz w:val="32"/>
          <w:szCs w:val="32"/>
        </w:rPr>
        <w:t>.项目涉及纠纷的影响（附件1、附件2）：</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已产生及</w:t>
      </w:r>
      <w:r>
        <w:rPr>
          <w:rFonts w:ascii="仿宋_GB2312" w:hAnsi="仿宋" w:eastAsia="仿宋_GB2312" w:cs="仿宋"/>
          <w:snapToGrid w:val="0"/>
          <w:kern w:val="0"/>
          <w:sz w:val="32"/>
          <w:szCs w:val="32"/>
        </w:rPr>
        <w:t>将产生的维权成本：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（2）纠纷造成的经济损失：指项目涉及的海外知识产权纠纷等重大事项对申请人造成的海外市场营业额损失、收益降低等经济损失，需预估具体金额，并进行说明。</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14:textFill>
            <w14:solidFill>
              <w14:schemeClr w14:val="tx1"/>
            </w14:solidFill>
          </w14:textFill>
        </w:rPr>
      </w:pPr>
      <w:r>
        <w:rPr>
          <w:rFonts w:hint="eastAsia" w:ascii="仿宋_GB2312" w:eastAsia="仿宋_GB2312"/>
          <w:sz w:val="32"/>
          <w:szCs w:val="32"/>
          <w:lang w:val="en-US" w:eastAsia="zh-CN"/>
        </w:rPr>
        <w:t>7</w:t>
      </w:r>
      <w:r>
        <w:rPr>
          <w:rFonts w:ascii="仿宋_GB2312" w:hAnsi="仿宋" w:eastAsia="仿宋_GB2312" w:cs="仿宋"/>
          <w:snapToGrid w:val="0"/>
          <w:color w:val="000000" w:themeColor="text1"/>
          <w:kern w:val="0"/>
          <w:sz w:val="32"/>
          <w:szCs w:val="32"/>
          <w14:textFill>
            <w14:solidFill>
              <w14:schemeClr w14:val="tx1"/>
            </w14:solidFill>
          </w14:textFill>
        </w:rPr>
        <w:t>.</w:t>
      </w:r>
      <w:r>
        <w:rPr>
          <w:rFonts w:hint="eastAsia" w:ascii="仿宋_GB2312" w:hAnsi="仿宋" w:eastAsia="仿宋_GB2312" w:cs="仿宋"/>
          <w:snapToGrid w:val="0"/>
          <w:color w:val="000000" w:themeColor="text1"/>
          <w:kern w:val="0"/>
          <w:sz w:val="32"/>
          <w:szCs w:val="32"/>
          <w14:textFill>
            <w14:solidFill>
              <w14:schemeClr w14:val="tx1"/>
            </w14:solidFill>
          </w14:textFill>
        </w:rPr>
        <w:t>收入总额（附件3）：指以货币形式和非货币形式从各种来源取得的收入，包括销售货物收入、提供劳务收入、转让财产收入、股息红利等权益性投资收益、利息收入、租金收入、特许权使用费收入、接受捐赠收入、其他收入。</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14:textFill>
            <w14:solidFill>
              <w14:schemeClr w14:val="tx1"/>
            </w14:solidFill>
          </w14:textFill>
        </w:rPr>
      </w:pPr>
      <w:r>
        <w:rPr>
          <w:rFonts w:hint="eastAsia" w:ascii="仿宋_GB2312" w:hAnsi="仿宋" w:eastAsia="仿宋_GB2312" w:cs="仿宋"/>
          <w:snapToGrid w:val="0"/>
          <w:color w:val="000000" w:themeColor="text1"/>
          <w:kern w:val="0"/>
          <w:sz w:val="32"/>
          <w:szCs w:val="32"/>
          <w:lang w:val="en-US" w:eastAsia="zh-CN"/>
          <w14:textFill>
            <w14:solidFill>
              <w14:schemeClr w14:val="tx1"/>
            </w14:solidFill>
          </w14:textFill>
        </w:rPr>
        <w:t>8</w:t>
      </w:r>
      <w:r>
        <w:rPr>
          <w:rFonts w:ascii="仿宋_GB2312" w:hAnsi="仿宋" w:eastAsia="仿宋_GB2312" w:cs="仿宋"/>
          <w:snapToGrid w:val="0"/>
          <w:color w:val="000000" w:themeColor="text1"/>
          <w:kern w:val="0"/>
          <w:sz w:val="32"/>
          <w:szCs w:val="32"/>
          <w14:textFill>
            <w14:solidFill>
              <w14:schemeClr w14:val="tx1"/>
            </w14:solidFill>
          </w14:textFill>
        </w:rPr>
        <w:t>.上缴税金</w:t>
      </w:r>
      <w:r>
        <w:rPr>
          <w:rFonts w:hint="eastAsia" w:ascii="仿宋_GB2312" w:hAnsi="仿宋" w:eastAsia="仿宋_GB2312" w:cs="仿宋"/>
          <w:snapToGrid w:val="0"/>
          <w:color w:val="000000" w:themeColor="text1"/>
          <w:kern w:val="0"/>
          <w:sz w:val="32"/>
          <w:szCs w:val="32"/>
          <w14:textFill>
            <w14:solidFill>
              <w14:schemeClr w14:val="tx1"/>
            </w14:solidFill>
          </w14:textFill>
        </w:rPr>
        <w:t>（附件3）</w:t>
      </w:r>
      <w:r>
        <w:rPr>
          <w:rFonts w:ascii="仿宋_GB2312" w:hAnsi="仿宋" w:eastAsia="仿宋_GB2312" w:cs="仿宋"/>
          <w:snapToGrid w:val="0"/>
          <w:color w:val="000000" w:themeColor="text1"/>
          <w:kern w:val="0"/>
          <w:sz w:val="32"/>
          <w:szCs w:val="32"/>
          <w14:textFill>
            <w14:solidFill>
              <w14:schemeClr w14:val="tx1"/>
            </w14:solidFill>
          </w14:textFill>
        </w:rPr>
        <w:t>：指机构全年实际交纳的所有税金之和，包括增值税、消费税、城建税、房产税、土地使用税、车船使用税、</w:t>
      </w:r>
      <w:r>
        <w:rPr>
          <w:rFonts w:hint="eastAsia" w:ascii="仿宋_GB2312" w:hAnsi="仿宋" w:eastAsia="仿宋_GB2312" w:cs="仿宋"/>
          <w:snapToGrid w:val="0"/>
          <w:color w:val="000000" w:themeColor="text1"/>
          <w:kern w:val="0"/>
          <w:sz w:val="32"/>
          <w:szCs w:val="32"/>
          <w14:textFill>
            <w14:solidFill>
              <w14:schemeClr w14:val="tx1"/>
            </w14:solidFill>
          </w14:textFill>
        </w:rPr>
        <w:t>企业和个人所得税、印花税等。</w:t>
      </w:r>
    </w:p>
    <w:p>
      <w:pPr>
        <w:adjustRightInd w:val="0"/>
        <w:snapToGrid w:val="0"/>
        <w:spacing w:line="560" w:lineRule="exact"/>
        <w:ind w:firstLine="640" w:firstLineChars="200"/>
        <w:rPr>
          <w:rFonts w:ascii="仿宋_GB2312" w:hAnsi="仿宋" w:eastAsia="仿宋_GB2312" w:cs="仿宋"/>
          <w:snapToGrid w:val="0"/>
          <w:color w:val="000000" w:themeColor="text1"/>
          <w:kern w:val="0"/>
          <w:sz w:val="32"/>
          <w:szCs w:val="32"/>
          <w14:textFill>
            <w14:solidFill>
              <w14:schemeClr w14:val="tx1"/>
            </w14:solidFill>
          </w14:textFill>
        </w:rPr>
      </w:pPr>
      <w:r>
        <w:rPr>
          <w:rFonts w:hint="eastAsia" w:ascii="仿宋_GB2312" w:hAnsi="仿宋" w:eastAsia="仿宋_GB2312" w:cs="仿宋"/>
          <w:snapToGrid w:val="0"/>
          <w:color w:val="000000" w:themeColor="text1"/>
          <w:kern w:val="0"/>
          <w:sz w:val="32"/>
          <w:szCs w:val="32"/>
          <w:lang w:val="en-US" w:eastAsia="zh-CN"/>
          <w14:textFill>
            <w14:solidFill>
              <w14:schemeClr w14:val="tx1"/>
            </w14:solidFill>
          </w14:textFill>
        </w:rPr>
        <w:t>9</w:t>
      </w:r>
      <w:r>
        <w:rPr>
          <w:rFonts w:ascii="仿宋_GB2312" w:hAnsi="仿宋" w:eastAsia="仿宋_GB2312" w:cs="仿宋"/>
          <w:snapToGrid w:val="0"/>
          <w:color w:val="000000" w:themeColor="text1"/>
          <w:kern w:val="0"/>
          <w:sz w:val="32"/>
          <w:szCs w:val="32"/>
          <w14:textFill>
            <w14:solidFill>
              <w14:schemeClr w14:val="tx1"/>
            </w14:solidFill>
          </w14:textFill>
        </w:rPr>
        <w:t>.执业资格人数</w:t>
      </w:r>
      <w:r>
        <w:rPr>
          <w:rFonts w:hint="eastAsia" w:ascii="仿宋_GB2312" w:hAnsi="仿宋" w:eastAsia="仿宋_GB2312" w:cs="仿宋"/>
          <w:snapToGrid w:val="0"/>
          <w:color w:val="000000" w:themeColor="text1"/>
          <w:kern w:val="0"/>
          <w:sz w:val="32"/>
          <w:szCs w:val="32"/>
          <w14:textFill>
            <w14:solidFill>
              <w14:schemeClr w14:val="tx1"/>
            </w14:solidFill>
          </w14:textFill>
        </w:rPr>
        <w:t>（附件3）</w:t>
      </w:r>
      <w:r>
        <w:rPr>
          <w:rFonts w:ascii="仿宋_GB2312" w:hAnsi="仿宋" w:eastAsia="仿宋_GB2312" w:cs="仿宋"/>
          <w:snapToGrid w:val="0"/>
          <w:color w:val="000000" w:themeColor="text1"/>
          <w:kern w:val="0"/>
          <w:sz w:val="32"/>
          <w:szCs w:val="32"/>
          <w14:textFill>
            <w14:solidFill>
              <w14:schemeClr w14:val="tx1"/>
            </w14:solidFill>
          </w14:textFill>
        </w:rPr>
        <w:t>：</w:t>
      </w:r>
      <w:r>
        <w:rPr>
          <w:rFonts w:hint="eastAsia" w:ascii="仿宋_GB2312" w:hAnsi="仿宋" w:eastAsia="仿宋_GB2312" w:cs="仿宋"/>
          <w:snapToGrid w:val="0"/>
          <w:color w:val="000000" w:themeColor="text1"/>
          <w:kern w:val="0"/>
          <w:sz w:val="32"/>
          <w:szCs w:val="32"/>
          <w14:textFill>
            <w14:solidFill>
              <w14:schemeClr w14:val="tx1"/>
            </w14:solidFill>
          </w14:textFill>
        </w:rPr>
        <w:t>包括但不限于知识产权代理资格、法律执业资格。</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四、申请材料填写装订要求</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请海外维权援助项目的单位应按照规定格式和内容要求填写《企事业单位或社会组织项目申报书》、《服务机构项目申报书》、《项目实施方案》等文本，各栏目不得空缺，无内容时填“无”；如篇幅所限，可按原格式自行添加页数。</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2.申报材料（包括申报书、用于说明纠纷存在的材料、实施方案等）中使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或中文摘要，申请单位应对其准确性负责。</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4.通过线下进行申报时，需准备1份盖章后的申报材料原件，正反面印刷，并按如下顺序胶订成册：</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（1）《企业事业单位或社会组织项目申报书》；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（2）用于说明知识产权纠纷等重大事项发生的材料；</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（3）《服务机构项目申报书》；</w:t>
      </w:r>
    </w:p>
    <w:p>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（4）《项目实施方案》。</w:t>
      </w:r>
    </w:p>
    <w:p>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pPr>
        <w:adjustRightInd w:val="0"/>
        <w:snapToGrid w:val="0"/>
        <w:spacing w:line="56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（一）线下申报方式</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w:t>
      </w:r>
      <w:r>
        <w:rPr>
          <w:rFonts w:hint="eastAsia" w:ascii="仿宋_GB2312" w:eastAsia="仿宋_GB2312"/>
          <w:sz w:val="32"/>
          <w:szCs w:val="32"/>
          <w:lang w:eastAsia="zh-CN"/>
        </w:rPr>
        <w:t>维权援助</w:t>
      </w:r>
      <w:r>
        <w:rPr>
          <w:rFonts w:hint="eastAsia" w:ascii="仿宋_GB2312" w:eastAsia="仿宋_GB2312"/>
          <w:sz w:val="32"/>
          <w:szCs w:val="32"/>
        </w:rPr>
        <w:t>项目各区知识产权管理部门或行政服务中心联系方式及线上申报链接》（附件6），选择企事业单位或社会组织注册地的区知识产权管理部门或区行政服务中心综合服务窗口，按照相应的地址信息，携带申报材料纸质版前往线下窗口对政务服务事项中的“海外知识产权维权援助”事项进行申报。</w:t>
      </w:r>
    </w:p>
    <w:p>
      <w:pPr>
        <w:adjustRightInd w:val="0"/>
        <w:snapToGrid w:val="0"/>
        <w:spacing w:line="560" w:lineRule="exact"/>
        <w:ind w:firstLine="640" w:firstLineChars="200"/>
        <w:rPr>
          <w:rFonts w:ascii="楷体_GB2312" w:eastAsia="楷体_GB2312"/>
          <w:b w:val="0"/>
          <w:bCs w:val="0"/>
          <w:sz w:val="32"/>
          <w:szCs w:val="32"/>
        </w:rPr>
      </w:pPr>
      <w:r>
        <w:rPr>
          <w:rFonts w:hint="eastAsia" w:ascii="楷体_GB2312" w:eastAsia="楷体_GB2312"/>
          <w:b w:val="0"/>
          <w:bCs w:val="0"/>
          <w:sz w:val="32"/>
          <w:szCs w:val="32"/>
        </w:rPr>
        <w:t>（二）线上申报方式</w:t>
      </w:r>
    </w:p>
    <w:p>
      <w:pPr>
        <w:adjustRightInd w:val="0"/>
        <w:snapToGrid w:val="0"/>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方式1：</w:t>
      </w:r>
    </w:p>
    <w:p>
      <w:pPr>
        <w:adjustRightInd w:val="0"/>
        <w:snapToGrid w:val="0"/>
        <w:spacing w:line="560" w:lineRule="exact"/>
        <w:ind w:firstLine="640" w:firstLineChars="200"/>
        <w:rPr>
          <w:rFonts w:ascii="仿宋_GB2312" w:hAnsi="微软雅黑" w:eastAsia="仿宋_GB2312"/>
          <w:color w:val="000000" w:themeColor="text1"/>
          <w:sz w:val="32"/>
          <w:szCs w:val="32"/>
          <w14:textFill>
            <w14:solidFill>
              <w14:schemeClr w14:val="tx1"/>
            </w14:solidFill>
          </w14:textFill>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14:textFill>
            <w14:solidFill>
              <w14:schemeClr w14:val="tx1"/>
            </w14:solidFill>
          </w14:textFill>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14:textFill>
            <w14:solidFill>
              <w14:schemeClr w14:val="tx1"/>
            </w14:solidFill>
          </w14:textFill>
        </w:rPr>
        <w:t>400-700-1900）</w:t>
      </w:r>
      <w:r>
        <w:rPr>
          <w:rFonts w:hint="eastAsia" w:ascii="仿宋_GB2312" w:hAnsi="微软雅黑" w:eastAsia="仿宋_GB2312"/>
          <w:color w:val="000000" w:themeColor="text1"/>
          <w:sz w:val="32"/>
          <w:szCs w:val="32"/>
          <w14:textFill>
            <w14:solidFill>
              <w14:schemeClr w14:val="tx1"/>
            </w14:solidFill>
          </w14:textFill>
        </w:rPr>
        <w:t>，</w:t>
      </w:r>
      <w:r>
        <w:rPr>
          <w:rFonts w:ascii="仿宋_GB2312" w:hAnsi="微软雅黑" w:eastAsia="仿宋_GB2312"/>
          <w:color w:val="000000" w:themeColor="text1"/>
          <w:sz w:val="32"/>
          <w:szCs w:val="32"/>
          <w14:textFill>
            <w14:solidFill>
              <w14:schemeClr w14:val="tx1"/>
            </w14:solidFill>
          </w14:textFill>
        </w:rPr>
        <w:t>输入密码后登录，在线申报并提交材料，具体申报</w:t>
      </w:r>
      <w:r>
        <w:rPr>
          <w:rFonts w:hint="eastAsia" w:ascii="仿宋_GB2312" w:hAnsi="微软雅黑" w:eastAsia="仿宋_GB2312"/>
          <w:color w:val="000000" w:themeColor="text1"/>
          <w:sz w:val="32"/>
          <w:szCs w:val="32"/>
          <w14:textFill>
            <w14:solidFill>
              <w14:schemeClr w14:val="tx1"/>
            </w14:solidFill>
          </w14:textFill>
        </w:rPr>
        <w:t>链接见附件6。</w:t>
      </w:r>
    </w:p>
    <w:p>
      <w:pPr>
        <w:adjustRightInd w:val="0"/>
        <w:snapToGrid w:val="0"/>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方式2：</w:t>
      </w:r>
    </w:p>
    <w:p>
      <w:pPr>
        <w:numPr>
          <w:ilvl w:val="0"/>
          <w:numId w:val="0"/>
        </w:numPr>
        <w:adjustRightInd w:val="0"/>
        <w:snapToGrid w:val="0"/>
        <w:spacing w:line="560" w:lineRule="exact"/>
        <w:ind w:left="0" w:leftChars="0" w:firstLine="640" w:firstLineChars="200"/>
        <w:rPr>
          <w:rFonts w:ascii="仿宋_GB2312" w:eastAsia="仿宋_GB2312"/>
          <w:color w:val="000000" w:themeColor="text1"/>
          <w:sz w:val="32"/>
          <w:szCs w:val="32"/>
          <w14:textFill>
            <w14:solidFill>
              <w14:schemeClr w14:val="tx1"/>
            </w14:solidFill>
          </w14:textFill>
        </w:rPr>
      </w:pPr>
      <w:r>
        <w:rPr>
          <w:rFonts w:ascii="仿宋_GB2312" w:hAnsi="Times New Roman" w:eastAsia="仿宋_GB2312" w:cs="Times New Roman"/>
          <w:color w:val="000000" w:themeColor="text1"/>
          <w:kern w:val="2"/>
          <w:sz w:val="32"/>
          <w:szCs w:val="32"/>
          <w:lang w:val="en-US" w:eastAsia="zh-CN" w:bidi="ar-SA"/>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登录“首都之窗”首页（</w:t>
      </w:r>
      <w:r>
        <w:rPr>
          <w:rFonts w:ascii="仿宋_GB2312" w:eastAsia="仿宋_GB2312"/>
          <w:color w:val="000000" w:themeColor="text1"/>
          <w:sz w:val="32"/>
          <w:szCs w:val="32"/>
          <w14:textFill>
            <w14:solidFill>
              <w14:schemeClr w14:val="tx1"/>
            </w14:solidFill>
          </w14:textFill>
        </w:rPr>
        <w:t>http://www.beijing.gov.cn/</w:t>
      </w:r>
      <w:r>
        <w:rPr>
          <w:rFonts w:hint="eastAsia" w:ascii="仿宋_GB2312" w:eastAsia="仿宋_GB2312"/>
          <w:color w:val="000000" w:themeColor="text1"/>
          <w:sz w:val="32"/>
          <w:szCs w:val="32"/>
          <w14:textFill>
            <w14:solidFill>
              <w14:schemeClr w14:val="tx1"/>
            </w14:solidFill>
          </w14:textFill>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14:textFill>
            <w14:solidFill>
              <w14:schemeClr w14:val="tx1"/>
            </w14:solidFill>
          </w14:textFill>
        </w:rPr>
        <w:t>http://banshi.beijing.gov.cn/</w:t>
      </w:r>
      <w:r>
        <w:rPr>
          <w:rStyle w:val="20"/>
          <w:rFonts w:ascii="仿宋_GB2312" w:eastAsia="仿宋_GB2312"/>
          <w:color w:val="000000" w:themeColor="text1"/>
          <w:sz w:val="32"/>
          <w:szCs w:val="32"/>
          <w14:textFill>
            <w14:solidFill>
              <w14:schemeClr w14:val="tx1"/>
            </w14:solidFill>
          </w14:textFill>
        </w:rPr>
        <w:fldChar w:fldCharType="end"/>
      </w:r>
      <w:r>
        <w:rPr>
          <w:rFonts w:hint="eastAsia" w:ascii="仿宋_GB2312" w:eastAsia="仿宋_GB2312"/>
          <w:color w:val="000000" w:themeColor="text1"/>
          <w:sz w:val="32"/>
          <w:szCs w:val="32"/>
          <w14:textFill>
            <w14:solidFill>
              <w14:schemeClr w14:val="tx1"/>
            </w14:solidFill>
          </w14:textFill>
        </w:rPr>
        <w:t>）。</w:t>
      </w:r>
    </w:p>
    <w:p>
      <w:pPr>
        <w:spacing w:beforeLines="10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5486400" cy="290766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2.</w:t>
      </w: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14:textFill>
            <w14:solidFill>
              <w14:schemeClr w14:val="tx1"/>
            </w14:solidFill>
          </w14:textFill>
        </w:rPr>
        <w:t>注册地</w:t>
      </w:r>
      <w:r>
        <w:rPr>
          <w:rFonts w:hint="eastAsia" w:ascii="仿宋_GB2312" w:eastAsia="仿宋_GB2312"/>
          <w:sz w:val="32"/>
          <w:szCs w:val="32"/>
        </w:rPr>
        <w:t>所在区）。</w:t>
      </w:r>
    </w:p>
    <w:p>
      <w:pPr>
        <w:spacing w:beforeLines="10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5486400" cy="284035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3.</w:t>
      </w:r>
      <w:r>
        <w:rPr>
          <w:rFonts w:hint="eastAsia" w:ascii="仿宋_GB2312" w:eastAsia="仿宋_GB2312"/>
          <w:sz w:val="32"/>
          <w:szCs w:val="32"/>
        </w:rPr>
        <w:t>以东城区为例，选择“东城区”后，选择“部门服务”。</w:t>
      </w:r>
    </w:p>
    <w:p>
      <w:pPr>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5486400" cy="268668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4.</w:t>
      </w: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pPr>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5486400" cy="280987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5.</w:t>
      </w:r>
      <w:r>
        <w:rPr>
          <w:rFonts w:hint="eastAsia" w:ascii="仿宋_GB2312" w:eastAsia="仿宋_GB2312"/>
          <w:sz w:val="32"/>
          <w:szCs w:val="32"/>
        </w:rPr>
        <w:t>将屏幕左下方“全部类型”，选变为“公共服务”。</w:t>
      </w:r>
    </w:p>
    <w:p>
      <w:pPr>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stretch>
                      <a:fillRect/>
                    </a:stretch>
                  </pic:blipFill>
                  <pic:spPr>
                    <a:xfrm>
                      <a:off x="0" y="0"/>
                      <a:ext cx="5486400" cy="270319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6.</w:t>
      </w: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pPr>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cstate="print"/>
                    <a:stretch>
                      <a:fillRect/>
                    </a:stretch>
                  </pic:blipFill>
                  <pic:spPr>
                    <a:xfrm>
                      <a:off x="0" y="0"/>
                      <a:ext cx="5486400" cy="2774950"/>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7.</w:t>
      </w: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pPr>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cstate="print"/>
                    <a:stretch>
                      <a:fillRect/>
                    </a:stretch>
                  </pic:blipFill>
                  <pic:spPr>
                    <a:xfrm>
                      <a:off x="0" y="0"/>
                      <a:ext cx="5486400" cy="2839085"/>
                    </a:xfrm>
                    <a:prstGeom prst="rect">
                      <a:avLst/>
                    </a:prstGeom>
                  </pic:spPr>
                </pic:pic>
              </a:graphicData>
            </a:graphic>
          </wp:inline>
        </w:drawing>
      </w:r>
    </w:p>
    <w:p>
      <w:pPr>
        <w:numPr>
          <w:ilvl w:val="0"/>
          <w:numId w:val="0"/>
        </w:numPr>
        <w:adjustRightInd w:val="0"/>
        <w:snapToGrid w:val="0"/>
        <w:spacing w:beforeLines="100" w:line="360" w:lineRule="auto"/>
        <w:ind w:left="0" w:leftChars="0" w:firstLine="640" w:firstLineChars="200"/>
        <w:jc w:val="left"/>
        <w:rPr>
          <w:rFonts w:ascii="仿宋_GB2312" w:eastAsia="仿宋_GB2312"/>
          <w:sz w:val="32"/>
          <w:szCs w:val="32"/>
        </w:rPr>
      </w:pPr>
      <w:r>
        <w:rPr>
          <w:rFonts w:ascii="仿宋_GB2312" w:hAnsi="Times New Roman" w:eastAsia="仿宋_GB2312" w:cs="Times New Roman"/>
          <w:kern w:val="2"/>
          <w:sz w:val="32"/>
          <w:szCs w:val="32"/>
          <w:lang w:val="en-US" w:eastAsia="zh-CN" w:bidi="ar-SA"/>
        </w:rPr>
        <w:t>8.</w:t>
      </w:r>
      <w:r>
        <w:rPr>
          <w:rFonts w:hint="eastAsia" w:ascii="仿宋_GB2312" w:eastAsia="仿宋_GB2312"/>
          <w:sz w:val="32"/>
          <w:szCs w:val="32"/>
        </w:rPr>
        <w:t>跳转页面后登陆办理，插入北京法人一证通，输入密码，点击“登录”。</w:t>
      </w:r>
    </w:p>
    <w:p>
      <w:pPr>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cstate="print"/>
                    <a:stretch>
                      <a:fillRect/>
                    </a:stretch>
                  </pic:blipFill>
                  <pic:spPr>
                    <a:xfrm>
                      <a:off x="0" y="0"/>
                      <a:ext cx="5486400" cy="2876550"/>
                    </a:xfrm>
                    <a:prstGeom prst="rect">
                      <a:avLst/>
                    </a:prstGeom>
                  </pic:spPr>
                </pic:pic>
              </a:graphicData>
            </a:graphic>
          </wp:inline>
        </w:drawing>
      </w:r>
    </w:p>
    <w:p>
      <w:pPr>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p>
    <w:sectPr>
      <w:footerReference r:id="rId3"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sdtPr>
    <w:sdtContent>
      <w:p>
        <w:pPr>
          <w:pStyle w:val="10"/>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4 -</w:t>
        </w:r>
        <w:r>
          <w:rPr>
            <w:rFonts w:ascii="宋体" w:hAnsi="宋体"/>
            <w:sz w:val="24"/>
            <w:szCs w:val="24"/>
          </w:rPr>
          <w:fldChar w:fldCharType="end"/>
        </w:r>
      </w:p>
    </w:sdtContent>
  </w:sdt>
  <w:p>
    <w:pPr>
      <w:pStyle w:val="10"/>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mMxNDk2MDY5N2Q1OTYyZDhmMDZkZDAzZmI1YzcifQ=="/>
  </w:docVars>
  <w:rsids>
    <w:rsidRoot w:val="007A6BA7"/>
    <w:rsid w:val="0001313E"/>
    <w:rsid w:val="000353C8"/>
    <w:rsid w:val="00057A9E"/>
    <w:rsid w:val="00060823"/>
    <w:rsid w:val="00060B38"/>
    <w:rsid w:val="00060DFD"/>
    <w:rsid w:val="00061EF9"/>
    <w:rsid w:val="00065836"/>
    <w:rsid w:val="000844CA"/>
    <w:rsid w:val="00085FD3"/>
    <w:rsid w:val="000A52DC"/>
    <w:rsid w:val="000B5B0B"/>
    <w:rsid w:val="000C04C6"/>
    <w:rsid w:val="000C0AE2"/>
    <w:rsid w:val="000C45CD"/>
    <w:rsid w:val="000C7A2A"/>
    <w:rsid w:val="000D05A4"/>
    <w:rsid w:val="000D63DB"/>
    <w:rsid w:val="000D6828"/>
    <w:rsid w:val="000E67B2"/>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7C4C"/>
    <w:rsid w:val="00272E5C"/>
    <w:rsid w:val="002755DA"/>
    <w:rsid w:val="00276166"/>
    <w:rsid w:val="0027666F"/>
    <w:rsid w:val="00276A5B"/>
    <w:rsid w:val="00281626"/>
    <w:rsid w:val="002838FC"/>
    <w:rsid w:val="002930A0"/>
    <w:rsid w:val="00297692"/>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783"/>
    <w:rsid w:val="00375C3E"/>
    <w:rsid w:val="00381847"/>
    <w:rsid w:val="00382256"/>
    <w:rsid w:val="00383694"/>
    <w:rsid w:val="00386467"/>
    <w:rsid w:val="00390553"/>
    <w:rsid w:val="00390A19"/>
    <w:rsid w:val="00391B62"/>
    <w:rsid w:val="00393048"/>
    <w:rsid w:val="003A325D"/>
    <w:rsid w:val="003A3DB3"/>
    <w:rsid w:val="003A477F"/>
    <w:rsid w:val="003A68BD"/>
    <w:rsid w:val="003B2A73"/>
    <w:rsid w:val="003B73CE"/>
    <w:rsid w:val="003E157E"/>
    <w:rsid w:val="003E4338"/>
    <w:rsid w:val="003E52BD"/>
    <w:rsid w:val="003E6ACA"/>
    <w:rsid w:val="003F0A35"/>
    <w:rsid w:val="004040DE"/>
    <w:rsid w:val="004059BA"/>
    <w:rsid w:val="00407E62"/>
    <w:rsid w:val="0041069F"/>
    <w:rsid w:val="00414804"/>
    <w:rsid w:val="00420804"/>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407B7"/>
    <w:rsid w:val="00541494"/>
    <w:rsid w:val="00547E12"/>
    <w:rsid w:val="00550EAC"/>
    <w:rsid w:val="0055323F"/>
    <w:rsid w:val="0055357E"/>
    <w:rsid w:val="0055446B"/>
    <w:rsid w:val="005607BF"/>
    <w:rsid w:val="00560F43"/>
    <w:rsid w:val="005635F3"/>
    <w:rsid w:val="00566624"/>
    <w:rsid w:val="00571724"/>
    <w:rsid w:val="00574A6A"/>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5F50"/>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457BD"/>
    <w:rsid w:val="00946458"/>
    <w:rsid w:val="00951F09"/>
    <w:rsid w:val="00955CFF"/>
    <w:rsid w:val="009634DF"/>
    <w:rsid w:val="00974A41"/>
    <w:rsid w:val="0097649D"/>
    <w:rsid w:val="00981F2D"/>
    <w:rsid w:val="00986EAC"/>
    <w:rsid w:val="0099233F"/>
    <w:rsid w:val="009966D9"/>
    <w:rsid w:val="009A54E5"/>
    <w:rsid w:val="009B3886"/>
    <w:rsid w:val="009B626B"/>
    <w:rsid w:val="009E554A"/>
    <w:rsid w:val="009E6E2B"/>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74006"/>
    <w:rsid w:val="00A74B40"/>
    <w:rsid w:val="00A81184"/>
    <w:rsid w:val="00A83D2F"/>
    <w:rsid w:val="00AA0D9E"/>
    <w:rsid w:val="00AA22B3"/>
    <w:rsid w:val="00AA26F6"/>
    <w:rsid w:val="00AA2D7C"/>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BA8"/>
    <w:rsid w:val="00BA3535"/>
    <w:rsid w:val="00BB1A57"/>
    <w:rsid w:val="00BB1D95"/>
    <w:rsid w:val="00BB6787"/>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A5D"/>
    <w:rsid w:val="00C62DF8"/>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356"/>
    <w:rsid w:val="00CD3F82"/>
    <w:rsid w:val="00CE2C8C"/>
    <w:rsid w:val="00CE6BEA"/>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876D6"/>
    <w:rsid w:val="00E9261C"/>
    <w:rsid w:val="00E92A0F"/>
    <w:rsid w:val="00E97373"/>
    <w:rsid w:val="00EA571B"/>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1217"/>
    <w:rsid w:val="00F43E57"/>
    <w:rsid w:val="00F45C1E"/>
    <w:rsid w:val="00F539F3"/>
    <w:rsid w:val="00F54DAE"/>
    <w:rsid w:val="00F55B28"/>
    <w:rsid w:val="00F638DC"/>
    <w:rsid w:val="00F74AB2"/>
    <w:rsid w:val="00F87287"/>
    <w:rsid w:val="00F875B7"/>
    <w:rsid w:val="00F94C3B"/>
    <w:rsid w:val="00FA1087"/>
    <w:rsid w:val="00FA49EF"/>
    <w:rsid w:val="00FB00FB"/>
    <w:rsid w:val="00FB122B"/>
    <w:rsid w:val="00FB2789"/>
    <w:rsid w:val="00FB2EA2"/>
    <w:rsid w:val="00FB32A1"/>
    <w:rsid w:val="00FB710A"/>
    <w:rsid w:val="00FD3A4A"/>
    <w:rsid w:val="00FD5B07"/>
    <w:rsid w:val="00FE2A47"/>
    <w:rsid w:val="00FF0496"/>
    <w:rsid w:val="00FF1252"/>
    <w:rsid w:val="00FF206C"/>
    <w:rsid w:val="00FF5ED9"/>
    <w:rsid w:val="00FF6D19"/>
    <w:rsid w:val="05D12169"/>
    <w:rsid w:val="061C3855"/>
    <w:rsid w:val="0DBE0DD6"/>
    <w:rsid w:val="10A07B14"/>
    <w:rsid w:val="154B17DC"/>
    <w:rsid w:val="3B1F36BC"/>
    <w:rsid w:val="3BDE00E7"/>
    <w:rsid w:val="3EB158B9"/>
    <w:rsid w:val="406D033D"/>
    <w:rsid w:val="4CEA5433"/>
    <w:rsid w:val="536B0AA5"/>
    <w:rsid w:val="5EFA058B"/>
    <w:rsid w:val="5F0F596B"/>
    <w:rsid w:val="6B182F95"/>
    <w:rsid w:val="6D5D71E4"/>
    <w:rsid w:val="6E3B3B2D"/>
    <w:rsid w:val="76CE2E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autoRedefine/>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9"/>
    <w:autoRedefine/>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caption"/>
    <w:basedOn w:val="1"/>
    <w:next w:val="1"/>
    <w:autoRedefine/>
    <w:qFormat/>
    <w:uiPriority w:val="35"/>
    <w:rPr>
      <w:rFonts w:ascii="等线 Light" w:hAnsi="等线 Light" w:eastAsia="黑体"/>
      <w:sz w:val="20"/>
      <w:szCs w:val="20"/>
    </w:rPr>
  </w:style>
  <w:style w:type="paragraph" w:styleId="5">
    <w:name w:val="Document Map"/>
    <w:basedOn w:val="1"/>
    <w:link w:val="22"/>
    <w:autoRedefine/>
    <w:semiHidden/>
    <w:unhideWhenUsed/>
    <w:qFormat/>
    <w:uiPriority w:val="99"/>
    <w:rPr>
      <w:rFonts w:ascii="宋体"/>
      <w:kern w:val="0"/>
      <w:sz w:val="18"/>
      <w:szCs w:val="18"/>
    </w:rPr>
  </w:style>
  <w:style w:type="paragraph" w:styleId="6">
    <w:name w:val="annotation text"/>
    <w:basedOn w:val="1"/>
    <w:link w:val="26"/>
    <w:autoRedefine/>
    <w:unhideWhenUsed/>
    <w:qFormat/>
    <w:uiPriority w:val="0"/>
    <w:pPr>
      <w:jc w:val="left"/>
    </w:pPr>
  </w:style>
  <w:style w:type="paragraph" w:styleId="7">
    <w:name w:val="toc 3"/>
    <w:basedOn w:val="1"/>
    <w:next w:val="1"/>
    <w:autoRedefine/>
    <w:qFormat/>
    <w:uiPriority w:val="39"/>
    <w:pPr>
      <w:ind w:left="840" w:leftChars="400"/>
    </w:pPr>
    <w:rPr>
      <w:szCs w:val="24"/>
    </w:r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4"/>
    <w:autoRedefine/>
    <w:unhideWhenUsed/>
    <w:qFormat/>
    <w:uiPriority w:val="99"/>
    <w:pPr>
      <w:tabs>
        <w:tab w:val="center" w:pos="4153"/>
        <w:tab w:val="right" w:pos="8306"/>
      </w:tabs>
      <w:snapToGrid w:val="0"/>
      <w:jc w:val="left"/>
    </w:pPr>
    <w:rPr>
      <w:sz w:val="18"/>
      <w:szCs w:val="18"/>
    </w:rPr>
  </w:style>
  <w:style w:type="paragraph" w:styleId="11">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rPr>
      <w:rFonts w:ascii="Calibri" w:hAnsi="Calibri"/>
    </w:rPr>
  </w:style>
  <w:style w:type="paragraph" w:styleId="13">
    <w:name w:val="toc 2"/>
    <w:basedOn w:val="1"/>
    <w:next w:val="1"/>
    <w:autoRedefine/>
    <w:qFormat/>
    <w:uiPriority w:val="39"/>
    <w:pPr>
      <w:ind w:left="420" w:leftChars="200"/>
    </w:pPr>
    <w:rPr>
      <w:szCs w:val="24"/>
    </w:rPr>
  </w:style>
  <w:style w:type="paragraph" w:styleId="14">
    <w:name w:val="Normal (Web)"/>
    <w:basedOn w:val="1"/>
    <w:autoRedefine/>
    <w:unhideWhenUsed/>
    <w:qFormat/>
    <w:uiPriority w:val="99"/>
    <w:rPr>
      <w:sz w:val="24"/>
      <w:szCs w:val="24"/>
    </w:r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autoRedefine/>
    <w:semiHidden/>
    <w:unhideWhenUsed/>
    <w:qFormat/>
    <w:uiPriority w:val="99"/>
    <w:rPr>
      <w:color w:val="800080" w:themeColor="followedHyperlink"/>
      <w:u w:val="single"/>
      <w14:textFill>
        <w14:solidFill>
          <w14:schemeClr w14:val="folHlink"/>
        </w14:solidFill>
      </w14:textFill>
    </w:rPr>
  </w:style>
  <w:style w:type="character" w:styleId="19">
    <w:name w:val="Emphasis"/>
    <w:autoRedefine/>
    <w:qFormat/>
    <w:uiPriority w:val="20"/>
    <w:rPr>
      <w:i/>
      <w:iCs/>
    </w:rPr>
  </w:style>
  <w:style w:type="character" w:styleId="20">
    <w:name w:val="Hyperlink"/>
    <w:autoRedefine/>
    <w:unhideWhenUsed/>
    <w:qFormat/>
    <w:uiPriority w:val="99"/>
    <w:rPr>
      <w:color w:val="0000FF"/>
      <w:u w:val="single"/>
    </w:rPr>
  </w:style>
  <w:style w:type="character" w:styleId="21">
    <w:name w:val="annotation reference"/>
    <w:autoRedefine/>
    <w:unhideWhenUsed/>
    <w:qFormat/>
    <w:uiPriority w:val="0"/>
    <w:rPr>
      <w:sz w:val="21"/>
      <w:szCs w:val="21"/>
    </w:rPr>
  </w:style>
  <w:style w:type="character" w:customStyle="1" w:styleId="22">
    <w:name w:val="文档结构图 Char"/>
    <w:link w:val="5"/>
    <w:autoRedefine/>
    <w:semiHidden/>
    <w:qFormat/>
    <w:uiPriority w:val="99"/>
    <w:rPr>
      <w:rFonts w:ascii="宋体" w:hAnsi="Times New Roman" w:eastAsia="宋体" w:cs="Times New Roman"/>
      <w:sz w:val="18"/>
      <w:szCs w:val="18"/>
    </w:rPr>
  </w:style>
  <w:style w:type="character" w:customStyle="1" w:styleId="23">
    <w:name w:val="页眉 Char"/>
    <w:link w:val="11"/>
    <w:autoRedefine/>
    <w:qFormat/>
    <w:uiPriority w:val="99"/>
    <w:rPr>
      <w:rFonts w:ascii="Times New Roman" w:hAnsi="Times New Roman"/>
      <w:kern w:val="2"/>
      <w:sz w:val="18"/>
      <w:szCs w:val="18"/>
    </w:rPr>
  </w:style>
  <w:style w:type="character" w:customStyle="1" w:styleId="24">
    <w:name w:val="页脚 Char"/>
    <w:link w:val="10"/>
    <w:autoRedefine/>
    <w:qFormat/>
    <w:uiPriority w:val="99"/>
    <w:rPr>
      <w:rFonts w:ascii="Times New Roman" w:hAnsi="Times New Roman"/>
      <w:kern w:val="2"/>
      <w:sz w:val="18"/>
      <w:szCs w:val="18"/>
    </w:rPr>
  </w:style>
  <w:style w:type="character" w:customStyle="1" w:styleId="25">
    <w:name w:val="日期 Char"/>
    <w:link w:val="8"/>
    <w:autoRedefine/>
    <w:semiHidden/>
    <w:qFormat/>
    <w:uiPriority w:val="99"/>
    <w:rPr>
      <w:rFonts w:ascii="Times New Roman" w:hAnsi="Times New Roman"/>
      <w:kern w:val="2"/>
      <w:sz w:val="21"/>
      <w:szCs w:val="22"/>
    </w:rPr>
  </w:style>
  <w:style w:type="character" w:customStyle="1" w:styleId="26">
    <w:name w:val="批注文字 Char"/>
    <w:link w:val="6"/>
    <w:autoRedefine/>
    <w:qFormat/>
    <w:uiPriority w:val="0"/>
    <w:rPr>
      <w:rFonts w:ascii="Times New Roman" w:hAnsi="Times New Roman"/>
      <w:kern w:val="2"/>
      <w:sz w:val="21"/>
      <w:szCs w:val="22"/>
    </w:rPr>
  </w:style>
  <w:style w:type="character" w:customStyle="1" w:styleId="27">
    <w:name w:val="批注框文本 Char"/>
    <w:link w:val="9"/>
    <w:autoRedefine/>
    <w:semiHidden/>
    <w:qFormat/>
    <w:uiPriority w:val="99"/>
    <w:rPr>
      <w:rFonts w:ascii="Times New Roman" w:hAnsi="Times New Roman"/>
      <w:kern w:val="2"/>
      <w:sz w:val="18"/>
      <w:szCs w:val="18"/>
    </w:rPr>
  </w:style>
  <w:style w:type="character" w:customStyle="1" w:styleId="28">
    <w:name w:val="标题 1 Char"/>
    <w:link w:val="2"/>
    <w:autoRedefine/>
    <w:qFormat/>
    <w:uiPriority w:val="9"/>
    <w:rPr>
      <w:rFonts w:ascii="Times New Roman" w:hAnsi="Times New Roman" w:eastAsia="仿宋_GB2312"/>
      <w:bCs/>
      <w:kern w:val="44"/>
      <w:sz w:val="30"/>
      <w:szCs w:val="44"/>
    </w:rPr>
  </w:style>
  <w:style w:type="character" w:customStyle="1" w:styleId="29">
    <w:name w:val="标题 3 Char"/>
    <w:basedOn w:val="17"/>
    <w:link w:val="3"/>
    <w:autoRedefine/>
    <w:semiHidden/>
    <w:qFormat/>
    <w:uiPriority w:val="9"/>
    <w:rPr>
      <w:rFonts w:ascii="Times New Roman" w:hAnsi="Times New Roman"/>
      <w:b/>
      <w:bCs/>
      <w:kern w:val="2"/>
      <w:sz w:val="32"/>
      <w:szCs w:val="32"/>
    </w:rPr>
  </w:style>
  <w:style w:type="paragraph" w:styleId="3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659</Words>
  <Characters>3757</Characters>
  <Lines>31</Lines>
  <Paragraphs>8</Paragraphs>
  <TotalTime>51</TotalTime>
  <ScaleCrop>false</ScaleCrop>
  <LinksUpToDate>false</LinksUpToDate>
  <CharactersWithSpaces>4408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2021-03-19T06:59:00Z</dcterms:created>
  <dc:creator>hxy</dc:creator>
  <cp:lastModifiedBy>Champagne Supernova</cp:lastModifiedBy>
  <cp:lastPrinted>2024-03-15T06:23:11Z</cp:lastPrinted>
  <dcterms:modified xsi:type="dcterms:W3CDTF">2024-03-15T07:20:12Z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2E39D07709254497B6BC58DA70F44C5D_13</vt:lpwstr>
  </property>
</Properties>
</file>