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56" w:rsidRDefault="00F44461">
      <w:pPr>
        <w:snapToGrid w:val="0"/>
        <w:spacing w:line="560" w:lineRule="exact"/>
        <w:rPr>
          <w:rFonts w:ascii="黑体" w:eastAsia="黑体" w:hAnsi="黑体"/>
          <w:sz w:val="32"/>
          <w:szCs w:val="32"/>
        </w:rPr>
      </w:pPr>
      <w:r>
        <w:rPr>
          <w:rFonts w:ascii="黑体" w:eastAsia="黑体" w:hAnsi="黑体" w:hint="eastAsia"/>
          <w:sz w:val="32"/>
          <w:szCs w:val="32"/>
        </w:rPr>
        <w:t>附件</w:t>
      </w:r>
      <w:r w:rsidR="0057639D">
        <w:rPr>
          <w:rFonts w:ascii="黑体" w:eastAsia="黑体" w:hAnsi="黑体" w:hint="eastAsia"/>
          <w:sz w:val="32"/>
          <w:szCs w:val="32"/>
        </w:rPr>
        <w:t>2</w:t>
      </w:r>
      <w:r>
        <w:rPr>
          <w:rFonts w:ascii="黑体" w:eastAsia="黑体" w:hAnsi="黑体" w:hint="eastAsia"/>
          <w:sz w:val="32"/>
          <w:szCs w:val="32"/>
        </w:rPr>
        <w:t>:</w:t>
      </w:r>
      <w:bookmarkStart w:id="0" w:name="_GoBack"/>
      <w:bookmarkEnd w:id="0"/>
    </w:p>
    <w:p w:rsidR="003E4656" w:rsidRDefault="00F44461">
      <w:pPr>
        <w:snapToGrid w:val="0"/>
        <w:spacing w:line="560" w:lineRule="exact"/>
        <w:jc w:val="center"/>
        <w:rPr>
          <w:rFonts w:ascii="方正小标宋简体" w:eastAsia="方正小标宋简体" w:hAnsi="微软雅黑" w:cs="微软雅黑"/>
          <w:kern w:val="0"/>
          <w:sz w:val="44"/>
          <w:szCs w:val="36"/>
        </w:rPr>
      </w:pPr>
      <w:r>
        <w:rPr>
          <w:rFonts w:ascii="方正小标宋简体" w:eastAsia="方正小标宋简体" w:hAnsi="微软雅黑" w:cs="微软雅黑" w:hint="eastAsia"/>
          <w:kern w:val="0"/>
          <w:sz w:val="44"/>
          <w:szCs w:val="36"/>
        </w:rPr>
        <w:t>北京市知识产权海外纠纷法律费用保险</w:t>
      </w:r>
    </w:p>
    <w:p w:rsidR="003E4656" w:rsidRDefault="00F44461">
      <w:pPr>
        <w:snapToGrid w:val="0"/>
        <w:spacing w:line="560" w:lineRule="exact"/>
        <w:jc w:val="center"/>
        <w:rPr>
          <w:rFonts w:ascii="方正小标宋简体" w:eastAsia="方正小标宋简体" w:hAnsi="微软雅黑" w:cs="微软雅黑"/>
          <w:kern w:val="0"/>
          <w:sz w:val="44"/>
          <w:szCs w:val="36"/>
        </w:rPr>
      </w:pPr>
      <w:r>
        <w:rPr>
          <w:rFonts w:ascii="方正小标宋简体" w:eastAsia="方正小标宋简体" w:hAnsi="微软雅黑" w:cs="微软雅黑" w:hint="eastAsia"/>
          <w:kern w:val="0"/>
          <w:sz w:val="44"/>
          <w:szCs w:val="36"/>
        </w:rPr>
        <w:t>试点产品介绍</w:t>
      </w:r>
    </w:p>
    <w:p w:rsidR="003E4656" w:rsidRDefault="003E4656">
      <w:pPr>
        <w:adjustRightInd w:val="0"/>
        <w:snapToGrid w:val="0"/>
        <w:spacing w:line="560" w:lineRule="exact"/>
        <w:ind w:firstLineChars="200" w:firstLine="640"/>
        <w:jc w:val="center"/>
        <w:rPr>
          <w:rFonts w:ascii="仿宋_GB2312" w:eastAsia="仿宋_GB2312"/>
          <w:sz w:val="32"/>
          <w:szCs w:val="32"/>
        </w:rPr>
      </w:pPr>
    </w:p>
    <w:p w:rsidR="003E4656" w:rsidRDefault="00F44461">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一、保障对象及范围</w:t>
      </w:r>
    </w:p>
    <w:p w:rsidR="003E4656" w:rsidRDefault="00F44461">
      <w:pPr>
        <w:adjustRightInd w:val="0"/>
        <w:snapToGrid w:val="0"/>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w:t>
      </w:r>
      <w:r>
        <w:rPr>
          <w:rFonts w:ascii="楷体_GB2312" w:eastAsia="楷体_GB2312" w:hAnsi="仿宋" w:cs="仿宋" w:hint="eastAsia"/>
          <w:sz w:val="32"/>
          <w:szCs w:val="32"/>
        </w:rPr>
        <w:t>1</w:t>
      </w:r>
      <w:r>
        <w:rPr>
          <w:rFonts w:ascii="楷体_GB2312" w:eastAsia="楷体_GB2312" w:hAnsi="仿宋" w:cs="仿宋" w:hint="eastAsia"/>
          <w:sz w:val="32"/>
          <w:szCs w:val="32"/>
        </w:rPr>
        <w:t>）保障对象</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年北京市知识产权海外纠纷法律费用保险试点工作方案》，为北京市海外出口业务较多的企业群体，如单项冠军企业、领军企业、北京市专精特新企业、十大高精尖产业企业等提供保险产品。</w:t>
      </w:r>
    </w:p>
    <w:p w:rsidR="003E4656" w:rsidRDefault="00F44461">
      <w:pPr>
        <w:adjustRightInd w:val="0"/>
        <w:snapToGrid w:val="0"/>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w:t>
      </w:r>
      <w:r>
        <w:rPr>
          <w:rFonts w:ascii="楷体_GB2312" w:eastAsia="楷体_GB2312" w:hAnsi="仿宋" w:cs="仿宋" w:hint="eastAsia"/>
          <w:sz w:val="32"/>
          <w:szCs w:val="32"/>
        </w:rPr>
        <w:t>2</w:t>
      </w:r>
      <w:r>
        <w:rPr>
          <w:rFonts w:ascii="楷体_GB2312" w:eastAsia="楷体_GB2312" w:hAnsi="仿宋" w:cs="仿宋" w:hint="eastAsia"/>
          <w:sz w:val="32"/>
          <w:szCs w:val="32"/>
        </w:rPr>
        <w:t>）保障范围</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保障责任为企业在购买保险后，保险有效期内在海外销售的所有企业产品。已知潜在诉讼的产品不在保障范围内。</w:t>
      </w:r>
    </w:p>
    <w:p w:rsidR="003E4656" w:rsidRDefault="00F44461">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二、试点项目使用保险产品及保险责任</w:t>
      </w:r>
    </w:p>
    <w:p w:rsidR="003E4656" w:rsidRDefault="00F44461">
      <w:pPr>
        <w:adjustRightInd w:val="0"/>
        <w:snapToGrid w:val="0"/>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w:t>
      </w:r>
      <w:r>
        <w:rPr>
          <w:rFonts w:ascii="楷体_GB2312" w:eastAsia="楷体_GB2312" w:hAnsi="仿宋" w:cs="仿宋" w:hint="eastAsia"/>
          <w:sz w:val="32"/>
          <w:szCs w:val="32"/>
        </w:rPr>
        <w:t>1</w:t>
      </w:r>
      <w:r>
        <w:rPr>
          <w:rFonts w:ascii="楷体_GB2312" w:eastAsia="楷体_GB2312" w:hAnsi="仿宋" w:cs="仿宋" w:hint="eastAsia"/>
          <w:sz w:val="32"/>
          <w:szCs w:val="32"/>
        </w:rPr>
        <w:t>）产品及条款名称</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u w:val="single"/>
        </w:rPr>
        <w:t>中国人民财产保险股份有限公司知识产权海外纠纷法律费用保险</w:t>
      </w:r>
      <w:r>
        <w:rPr>
          <w:rFonts w:ascii="仿宋" w:eastAsia="仿宋" w:hAnsi="仿宋" w:cs="仿宋" w:hint="eastAsia"/>
          <w:sz w:val="32"/>
          <w:szCs w:val="32"/>
        </w:rPr>
        <w:t>。</w:t>
      </w:r>
    </w:p>
    <w:p w:rsidR="003E4656" w:rsidRDefault="00F44461">
      <w:pPr>
        <w:adjustRightInd w:val="0"/>
        <w:snapToGrid w:val="0"/>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w:t>
      </w:r>
      <w:r>
        <w:rPr>
          <w:rFonts w:ascii="楷体_GB2312" w:eastAsia="楷体_GB2312" w:hAnsi="仿宋" w:cs="仿宋" w:hint="eastAsia"/>
          <w:sz w:val="32"/>
          <w:szCs w:val="32"/>
        </w:rPr>
        <w:t>2</w:t>
      </w:r>
      <w:r>
        <w:rPr>
          <w:rFonts w:ascii="楷体_GB2312" w:eastAsia="楷体_GB2312" w:hAnsi="仿宋" w:cs="仿宋" w:hint="eastAsia"/>
          <w:sz w:val="32"/>
          <w:szCs w:val="32"/>
        </w:rPr>
        <w:t>）主要保险责任</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保险期间内，被保险人从事保险单载明产品的制造、使用、进口、销售过程中，为应对在保险期间内首次针对被保险人提起的专利、商标侵权诉讼，而在承保区域内支出的诉讼费用以及事先经保险人书面同意支付的其他必要的、合理的法律费用。</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法律费用包括但不限于：</w:t>
      </w:r>
    </w:p>
    <w:p w:rsidR="003E4656" w:rsidRDefault="00F44461">
      <w:pPr>
        <w:numPr>
          <w:ilvl w:val="0"/>
          <w:numId w:val="1"/>
        </w:numPr>
        <w:tabs>
          <w:tab w:val="left" w:pos="1050"/>
        </w:tabs>
        <w:adjustRightInd w:val="0"/>
        <w:snapToGrid w:val="0"/>
        <w:spacing w:line="560" w:lineRule="exact"/>
        <w:ind w:left="0" w:firstLineChars="200" w:firstLine="640"/>
        <w:rPr>
          <w:rFonts w:ascii="仿宋" w:eastAsia="仿宋" w:hAnsi="仿宋" w:cs="仿宋"/>
          <w:sz w:val="32"/>
          <w:szCs w:val="32"/>
        </w:rPr>
      </w:pPr>
      <w:r>
        <w:rPr>
          <w:rFonts w:ascii="仿宋" w:eastAsia="仿宋" w:hAnsi="仿宋" w:cs="仿宋" w:hint="eastAsia"/>
          <w:sz w:val="32"/>
          <w:szCs w:val="32"/>
        </w:rPr>
        <w:lastRenderedPageBreak/>
        <w:t>律师法律服务费用；</w:t>
      </w:r>
    </w:p>
    <w:p w:rsidR="003E4656" w:rsidRDefault="00F44461">
      <w:pPr>
        <w:numPr>
          <w:ilvl w:val="0"/>
          <w:numId w:val="1"/>
        </w:numPr>
        <w:tabs>
          <w:tab w:val="left" w:pos="1050"/>
        </w:tabs>
        <w:adjustRightInd w:val="0"/>
        <w:snapToGrid w:val="0"/>
        <w:spacing w:line="560" w:lineRule="exact"/>
        <w:ind w:left="0" w:firstLineChars="200" w:firstLine="640"/>
        <w:rPr>
          <w:rFonts w:ascii="仿宋" w:eastAsia="仿宋" w:hAnsi="仿宋" w:cs="仿宋"/>
          <w:sz w:val="32"/>
          <w:szCs w:val="32"/>
        </w:rPr>
      </w:pPr>
      <w:r>
        <w:rPr>
          <w:rFonts w:ascii="仿宋" w:eastAsia="仿宋" w:hAnsi="仿宋" w:cs="仿宋" w:hint="eastAsia"/>
          <w:sz w:val="32"/>
          <w:szCs w:val="32"/>
        </w:rPr>
        <w:t>合理的外部专家证人费用（不包括被保险人的董监事及高级管理人员及员工）；</w:t>
      </w:r>
    </w:p>
    <w:p w:rsidR="003E4656" w:rsidRDefault="00F44461">
      <w:pPr>
        <w:numPr>
          <w:ilvl w:val="0"/>
          <w:numId w:val="1"/>
        </w:numPr>
        <w:tabs>
          <w:tab w:val="left" w:pos="1050"/>
        </w:tabs>
        <w:adjustRightInd w:val="0"/>
        <w:snapToGrid w:val="0"/>
        <w:spacing w:line="560" w:lineRule="exact"/>
        <w:ind w:left="0" w:firstLineChars="200" w:firstLine="640"/>
        <w:rPr>
          <w:rFonts w:ascii="仿宋" w:eastAsia="仿宋" w:hAnsi="仿宋" w:cs="仿宋"/>
          <w:sz w:val="32"/>
          <w:szCs w:val="32"/>
        </w:rPr>
      </w:pPr>
      <w:r>
        <w:rPr>
          <w:rFonts w:ascii="仿宋" w:eastAsia="仿宋" w:hAnsi="仿宋" w:cs="仿宋" w:hint="eastAsia"/>
          <w:sz w:val="32"/>
          <w:szCs w:val="32"/>
        </w:rPr>
        <w:t>代理人代表被保险人传召的其他证人的合理出庭费用（不包括被保险人的董监事及高级管理人员及员工）；</w:t>
      </w:r>
    </w:p>
    <w:p w:rsidR="003E4656" w:rsidRDefault="00F44461">
      <w:pPr>
        <w:numPr>
          <w:ilvl w:val="0"/>
          <w:numId w:val="1"/>
        </w:numPr>
        <w:tabs>
          <w:tab w:val="left" w:pos="1050"/>
        </w:tabs>
        <w:adjustRightInd w:val="0"/>
        <w:snapToGrid w:val="0"/>
        <w:spacing w:line="560" w:lineRule="exact"/>
        <w:ind w:left="0" w:firstLineChars="200" w:firstLine="640"/>
        <w:rPr>
          <w:rFonts w:ascii="仿宋" w:eastAsia="仿宋" w:hAnsi="仿宋" w:cs="仿宋"/>
          <w:sz w:val="32"/>
          <w:szCs w:val="32"/>
        </w:rPr>
      </w:pPr>
      <w:r>
        <w:rPr>
          <w:rFonts w:ascii="仿宋" w:eastAsia="仿宋" w:hAnsi="仿宋" w:cs="仿宋" w:hint="eastAsia"/>
          <w:sz w:val="32"/>
          <w:szCs w:val="32"/>
        </w:rPr>
        <w:t>被保险人因应诉工作产生的合理差旅费用及食宿费用；</w:t>
      </w:r>
    </w:p>
    <w:p w:rsidR="003E4656" w:rsidRDefault="00F44461">
      <w:pPr>
        <w:numPr>
          <w:ilvl w:val="0"/>
          <w:numId w:val="1"/>
        </w:numPr>
        <w:tabs>
          <w:tab w:val="left" w:pos="1050"/>
        </w:tabs>
        <w:adjustRightInd w:val="0"/>
        <w:snapToGrid w:val="0"/>
        <w:spacing w:line="560" w:lineRule="exact"/>
        <w:ind w:left="0" w:firstLineChars="200" w:firstLine="640"/>
        <w:rPr>
          <w:rFonts w:ascii="仿宋" w:eastAsia="仿宋" w:hAnsi="仿宋" w:cs="仿宋"/>
          <w:sz w:val="32"/>
          <w:szCs w:val="32"/>
        </w:rPr>
      </w:pPr>
      <w:r>
        <w:rPr>
          <w:rFonts w:ascii="仿宋" w:eastAsia="仿宋" w:hAnsi="仿宋" w:cs="仿宋" w:hint="eastAsia"/>
          <w:sz w:val="32"/>
          <w:szCs w:val="32"/>
        </w:rPr>
        <w:t>其他经保险人书面同意的与诉讼相关的法律费用。</w:t>
      </w:r>
    </w:p>
    <w:p w:rsidR="003E4656" w:rsidRDefault="00F44461">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三、保险方案设置</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本是点产品的保险方案设置见表：</w:t>
      </w:r>
    </w:p>
    <w:tbl>
      <w:tblPr>
        <w:tblW w:w="8366" w:type="dxa"/>
        <w:tblCellSpacing w:w="0" w:type="dxa"/>
        <w:tblInd w:w="15" w:type="dxa"/>
        <w:tblLayout w:type="fixed"/>
        <w:tblCellMar>
          <w:left w:w="0" w:type="dxa"/>
          <w:right w:w="0" w:type="dxa"/>
        </w:tblCellMar>
        <w:tblLook w:val="04A0" w:firstRow="1" w:lastRow="0" w:firstColumn="1" w:lastColumn="0" w:noHBand="0" w:noVBand="1"/>
      </w:tblPr>
      <w:tblGrid>
        <w:gridCol w:w="905"/>
        <w:gridCol w:w="3882"/>
        <w:gridCol w:w="3579"/>
      </w:tblGrid>
      <w:tr w:rsidR="003E4656">
        <w:trPr>
          <w:trHeight w:val="620"/>
          <w:tblCellSpacing w:w="0" w:type="dxa"/>
        </w:trPr>
        <w:tc>
          <w:tcPr>
            <w:tcW w:w="905" w:type="dxa"/>
            <w:tcBorders>
              <w:top w:val="single" w:sz="6" w:space="0" w:color="AA1628"/>
              <w:left w:val="single" w:sz="6" w:space="0" w:color="AA1628"/>
              <w:bottom w:val="single" w:sz="6" w:space="0" w:color="AA1628"/>
              <w:right w:val="single" w:sz="6" w:space="0" w:color="AA1628"/>
            </w:tcBorders>
            <w:shd w:val="clear" w:color="auto" w:fill="C00000"/>
            <w:tcMar>
              <w:top w:w="72" w:type="dxa"/>
              <w:left w:w="108" w:type="dxa"/>
              <w:bottom w:w="72" w:type="dxa"/>
              <w:right w:w="108" w:type="dxa"/>
            </w:tcMar>
            <w:vAlign w:val="center"/>
          </w:tcPr>
          <w:p w:rsidR="003E4656" w:rsidRDefault="00F44461">
            <w:pPr>
              <w:pStyle w:val="a5"/>
              <w:widowControl/>
              <w:snapToGrid w:val="0"/>
              <w:spacing w:beforeAutospacing="0" w:afterAutospacing="0"/>
              <w:jc w:val="center"/>
              <w:rPr>
                <w:rFonts w:ascii="黑体" w:eastAsia="黑体" w:hAnsi="黑体" w:cs="仿宋"/>
                <w:sz w:val="32"/>
                <w:szCs w:val="32"/>
              </w:rPr>
            </w:pPr>
            <w:r>
              <w:rPr>
                <w:rFonts w:ascii="黑体" w:eastAsia="黑体" w:hAnsi="黑体" w:cs="仿宋" w:hint="eastAsia"/>
                <w:b/>
                <w:bCs/>
                <w:sz w:val="32"/>
                <w:szCs w:val="32"/>
              </w:rPr>
              <w:t>类别</w:t>
            </w:r>
          </w:p>
        </w:tc>
        <w:tc>
          <w:tcPr>
            <w:tcW w:w="3882" w:type="dxa"/>
            <w:tcBorders>
              <w:top w:val="single" w:sz="6" w:space="0" w:color="AA1628"/>
              <w:left w:val="single" w:sz="6" w:space="0" w:color="AA1628"/>
              <w:bottom w:val="single" w:sz="6" w:space="0" w:color="AA1628"/>
              <w:right w:val="single" w:sz="6" w:space="0" w:color="AA1628"/>
            </w:tcBorders>
            <w:shd w:val="clear" w:color="auto" w:fill="C00000"/>
            <w:tcMar>
              <w:top w:w="72" w:type="dxa"/>
              <w:left w:w="108" w:type="dxa"/>
              <w:bottom w:w="72" w:type="dxa"/>
              <w:right w:w="108" w:type="dxa"/>
            </w:tcMar>
            <w:vAlign w:val="center"/>
          </w:tcPr>
          <w:p w:rsidR="003E4656" w:rsidRDefault="00F44461">
            <w:pPr>
              <w:pStyle w:val="a5"/>
              <w:widowControl/>
              <w:snapToGrid w:val="0"/>
              <w:spacing w:beforeAutospacing="0" w:afterAutospacing="0"/>
              <w:jc w:val="center"/>
              <w:rPr>
                <w:rFonts w:ascii="黑体" w:eastAsia="黑体" w:hAnsi="黑体" w:cs="仿宋"/>
                <w:sz w:val="32"/>
                <w:szCs w:val="32"/>
              </w:rPr>
            </w:pPr>
            <w:r>
              <w:rPr>
                <w:rFonts w:ascii="黑体" w:eastAsia="黑体" w:hAnsi="黑体" w:cs="仿宋" w:hint="eastAsia"/>
                <w:b/>
                <w:bCs/>
                <w:sz w:val="32"/>
                <w:szCs w:val="32"/>
              </w:rPr>
              <w:t>内容</w:t>
            </w:r>
          </w:p>
        </w:tc>
        <w:tc>
          <w:tcPr>
            <w:tcW w:w="3579" w:type="dxa"/>
            <w:tcBorders>
              <w:top w:val="single" w:sz="6" w:space="0" w:color="AA1628"/>
              <w:left w:val="single" w:sz="6" w:space="0" w:color="AA1628"/>
              <w:bottom w:val="single" w:sz="6" w:space="0" w:color="AA1628"/>
              <w:right w:val="single" w:sz="6" w:space="0" w:color="AA1628"/>
            </w:tcBorders>
            <w:shd w:val="clear" w:color="auto" w:fill="C00000"/>
            <w:tcMar>
              <w:top w:w="72" w:type="dxa"/>
              <w:left w:w="108" w:type="dxa"/>
              <w:bottom w:w="72" w:type="dxa"/>
              <w:right w:w="108" w:type="dxa"/>
            </w:tcMar>
            <w:vAlign w:val="center"/>
          </w:tcPr>
          <w:p w:rsidR="003E4656" w:rsidRDefault="00F44461">
            <w:pPr>
              <w:pStyle w:val="a5"/>
              <w:widowControl/>
              <w:snapToGrid w:val="0"/>
              <w:spacing w:beforeAutospacing="0" w:afterAutospacing="0"/>
              <w:jc w:val="center"/>
              <w:rPr>
                <w:rFonts w:ascii="黑体" w:eastAsia="黑体" w:hAnsi="黑体" w:cs="仿宋"/>
                <w:sz w:val="32"/>
                <w:szCs w:val="32"/>
              </w:rPr>
            </w:pPr>
            <w:r>
              <w:rPr>
                <w:rFonts w:ascii="黑体" w:eastAsia="黑体" w:hAnsi="黑体" w:cs="仿宋" w:hint="eastAsia"/>
                <w:b/>
                <w:bCs/>
                <w:sz w:val="32"/>
                <w:szCs w:val="32"/>
              </w:rPr>
              <w:t>责任限额</w:t>
            </w:r>
          </w:p>
        </w:tc>
      </w:tr>
      <w:tr w:rsidR="003E4656">
        <w:trPr>
          <w:trHeight w:val="691"/>
          <w:tblCellSpacing w:w="0" w:type="dxa"/>
        </w:trPr>
        <w:tc>
          <w:tcPr>
            <w:tcW w:w="905" w:type="dxa"/>
            <w:vMerge w:val="restart"/>
            <w:tcBorders>
              <w:top w:val="single" w:sz="6" w:space="0" w:color="AA1628"/>
              <w:left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jc w:val="center"/>
              <w:rPr>
                <w:rFonts w:ascii="仿宋" w:eastAsia="仿宋" w:hAnsi="仿宋" w:cs="仿宋"/>
                <w:sz w:val="28"/>
                <w:szCs w:val="28"/>
              </w:rPr>
            </w:pPr>
            <w:r>
              <w:rPr>
                <w:rFonts w:ascii="仿宋" w:eastAsia="仿宋" w:hAnsi="仿宋" w:cs="仿宋" w:hint="eastAsia"/>
                <w:sz w:val="28"/>
                <w:szCs w:val="28"/>
              </w:rPr>
              <w:t>保障限额</w:t>
            </w:r>
          </w:p>
        </w:tc>
        <w:tc>
          <w:tcPr>
            <w:tcW w:w="3882"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整张保险单</w:t>
            </w:r>
          </w:p>
        </w:tc>
        <w:tc>
          <w:tcPr>
            <w:tcW w:w="3579"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累计赔偿限额</w:t>
            </w:r>
            <w:r>
              <w:rPr>
                <w:rFonts w:ascii="仿宋" w:eastAsia="仿宋" w:hAnsi="仿宋" w:cs="仿宋" w:hint="eastAsia"/>
                <w:sz w:val="28"/>
                <w:szCs w:val="28"/>
              </w:rPr>
              <w:t>600</w:t>
            </w:r>
            <w:r>
              <w:rPr>
                <w:rFonts w:ascii="仿宋" w:eastAsia="仿宋" w:hAnsi="仿宋" w:cs="仿宋" w:hint="eastAsia"/>
                <w:sz w:val="28"/>
                <w:szCs w:val="28"/>
              </w:rPr>
              <w:t>万</w:t>
            </w:r>
          </w:p>
        </w:tc>
      </w:tr>
      <w:tr w:rsidR="003E4656">
        <w:trPr>
          <w:trHeight w:val="716"/>
          <w:tblCellSpacing w:w="0" w:type="dxa"/>
        </w:trPr>
        <w:tc>
          <w:tcPr>
            <w:tcW w:w="905" w:type="dxa"/>
            <w:vMerge/>
            <w:tcBorders>
              <w:left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3E4656">
            <w:pPr>
              <w:snapToGrid w:val="0"/>
              <w:rPr>
                <w:rFonts w:ascii="仿宋" w:eastAsia="仿宋" w:hAnsi="仿宋" w:cs="仿宋"/>
                <w:sz w:val="28"/>
                <w:szCs w:val="28"/>
              </w:rPr>
            </w:pPr>
          </w:p>
        </w:tc>
        <w:tc>
          <w:tcPr>
            <w:tcW w:w="3882"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销售区域包含美国、加拿大、欧洲地区的产品</w:t>
            </w:r>
          </w:p>
        </w:tc>
        <w:tc>
          <w:tcPr>
            <w:tcW w:w="3579"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每次事故赔偿限额</w:t>
            </w:r>
            <w:r>
              <w:rPr>
                <w:rFonts w:ascii="仿宋" w:eastAsia="仿宋" w:hAnsi="仿宋" w:cs="仿宋" w:hint="eastAsia"/>
                <w:sz w:val="28"/>
                <w:szCs w:val="28"/>
              </w:rPr>
              <w:t>300</w:t>
            </w:r>
            <w:r>
              <w:rPr>
                <w:rFonts w:ascii="仿宋" w:eastAsia="仿宋" w:hAnsi="仿宋" w:cs="仿宋" w:hint="eastAsia"/>
                <w:sz w:val="28"/>
                <w:szCs w:val="28"/>
              </w:rPr>
              <w:t>万元</w:t>
            </w:r>
          </w:p>
        </w:tc>
      </w:tr>
      <w:tr w:rsidR="003E4656">
        <w:trPr>
          <w:trHeight w:val="716"/>
          <w:tblCellSpacing w:w="0" w:type="dxa"/>
        </w:trPr>
        <w:tc>
          <w:tcPr>
            <w:tcW w:w="905" w:type="dxa"/>
            <w:vMerge/>
            <w:tcBorders>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3E4656">
            <w:pPr>
              <w:snapToGrid w:val="0"/>
              <w:rPr>
                <w:rFonts w:ascii="仿宋" w:eastAsia="仿宋" w:hAnsi="仿宋" w:cs="仿宋"/>
                <w:sz w:val="28"/>
                <w:szCs w:val="28"/>
              </w:rPr>
            </w:pPr>
          </w:p>
        </w:tc>
        <w:tc>
          <w:tcPr>
            <w:tcW w:w="3882"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销售区域不含美国、加拿大、欧洲地区的产品</w:t>
            </w:r>
          </w:p>
        </w:tc>
        <w:tc>
          <w:tcPr>
            <w:tcW w:w="3579"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每次事故赔偿限额</w:t>
            </w:r>
            <w:r>
              <w:rPr>
                <w:rFonts w:ascii="仿宋" w:eastAsia="仿宋" w:hAnsi="仿宋" w:cs="仿宋" w:hint="eastAsia"/>
                <w:sz w:val="28"/>
                <w:szCs w:val="28"/>
              </w:rPr>
              <w:t>120</w:t>
            </w:r>
            <w:r>
              <w:rPr>
                <w:rFonts w:ascii="仿宋" w:eastAsia="仿宋" w:hAnsi="仿宋" w:cs="仿宋" w:hint="eastAsia"/>
                <w:sz w:val="28"/>
                <w:szCs w:val="28"/>
              </w:rPr>
              <w:t>万元</w:t>
            </w:r>
          </w:p>
        </w:tc>
      </w:tr>
      <w:tr w:rsidR="003E4656">
        <w:trPr>
          <w:trHeight w:val="500"/>
          <w:tblCellSpacing w:w="0" w:type="dxa"/>
        </w:trPr>
        <w:tc>
          <w:tcPr>
            <w:tcW w:w="905"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免赔额</w:t>
            </w:r>
          </w:p>
        </w:tc>
        <w:tc>
          <w:tcPr>
            <w:tcW w:w="7461" w:type="dxa"/>
            <w:gridSpan w:val="2"/>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widowControl/>
              <w:snapToGrid w:val="0"/>
              <w:ind w:firstLine="1680"/>
              <w:rPr>
                <w:rFonts w:ascii="仿宋" w:eastAsia="仿宋" w:hAnsi="仿宋" w:cs="仿宋"/>
                <w:kern w:val="0"/>
                <w:sz w:val="28"/>
                <w:szCs w:val="28"/>
              </w:rPr>
            </w:pPr>
            <w:r>
              <w:rPr>
                <w:rFonts w:ascii="仿宋" w:eastAsia="仿宋" w:hAnsi="仿宋" w:cs="仿宋" w:hint="eastAsia"/>
                <w:kern w:val="0"/>
                <w:sz w:val="28"/>
                <w:szCs w:val="28"/>
              </w:rPr>
              <w:t>第一次事故为损失金额的</w:t>
            </w:r>
            <w:r>
              <w:rPr>
                <w:rFonts w:ascii="仿宋" w:eastAsia="仿宋" w:hAnsi="仿宋" w:cs="仿宋" w:hint="eastAsia"/>
                <w:kern w:val="0"/>
                <w:sz w:val="28"/>
                <w:szCs w:val="28"/>
              </w:rPr>
              <w:t>10%</w:t>
            </w:r>
            <w:r>
              <w:rPr>
                <w:rFonts w:ascii="仿宋" w:eastAsia="仿宋" w:hAnsi="仿宋" w:cs="仿宋" w:hint="eastAsia"/>
                <w:kern w:val="0"/>
                <w:sz w:val="28"/>
                <w:szCs w:val="28"/>
              </w:rPr>
              <w:t>；</w:t>
            </w:r>
          </w:p>
          <w:p w:rsidR="003E4656" w:rsidRDefault="00F44461">
            <w:pPr>
              <w:widowControl/>
              <w:snapToGrid w:val="0"/>
              <w:ind w:firstLine="1680"/>
              <w:rPr>
                <w:rFonts w:ascii="仿宋" w:eastAsia="仿宋" w:hAnsi="仿宋" w:cs="仿宋"/>
                <w:kern w:val="0"/>
                <w:sz w:val="28"/>
                <w:szCs w:val="28"/>
              </w:rPr>
            </w:pPr>
            <w:r>
              <w:rPr>
                <w:rFonts w:ascii="仿宋" w:eastAsia="仿宋" w:hAnsi="仿宋" w:cs="仿宋" w:hint="eastAsia"/>
                <w:kern w:val="0"/>
                <w:sz w:val="28"/>
                <w:szCs w:val="28"/>
              </w:rPr>
              <w:t>第二次事故为损失金额的</w:t>
            </w:r>
            <w:r>
              <w:rPr>
                <w:rFonts w:ascii="仿宋" w:eastAsia="仿宋" w:hAnsi="仿宋" w:cs="仿宋" w:hint="eastAsia"/>
                <w:kern w:val="0"/>
                <w:sz w:val="28"/>
                <w:szCs w:val="28"/>
              </w:rPr>
              <w:t>20%</w:t>
            </w:r>
            <w:r>
              <w:rPr>
                <w:rFonts w:ascii="仿宋" w:eastAsia="仿宋" w:hAnsi="仿宋" w:cs="仿宋" w:hint="eastAsia"/>
                <w:kern w:val="0"/>
                <w:sz w:val="28"/>
                <w:szCs w:val="28"/>
              </w:rPr>
              <w:t>；</w:t>
            </w:r>
          </w:p>
          <w:p w:rsidR="003E4656" w:rsidRDefault="00F44461">
            <w:pPr>
              <w:widowControl/>
              <w:snapToGrid w:val="0"/>
              <w:ind w:firstLine="1680"/>
              <w:rPr>
                <w:rFonts w:ascii="仿宋" w:eastAsia="仿宋" w:hAnsi="仿宋" w:cs="仿宋"/>
                <w:sz w:val="28"/>
                <w:szCs w:val="28"/>
              </w:rPr>
            </w:pPr>
            <w:r>
              <w:rPr>
                <w:rFonts w:ascii="仿宋" w:eastAsia="仿宋" w:hAnsi="仿宋" w:cs="仿宋" w:hint="eastAsia"/>
                <w:kern w:val="0"/>
                <w:sz w:val="28"/>
                <w:szCs w:val="28"/>
              </w:rPr>
              <w:t>第三次事故为损失金额的</w:t>
            </w:r>
            <w:r>
              <w:rPr>
                <w:rFonts w:ascii="仿宋" w:eastAsia="仿宋" w:hAnsi="仿宋" w:cs="仿宋" w:hint="eastAsia"/>
                <w:kern w:val="0"/>
                <w:sz w:val="28"/>
                <w:szCs w:val="28"/>
              </w:rPr>
              <w:t>30%</w:t>
            </w:r>
            <w:r>
              <w:rPr>
                <w:rFonts w:ascii="仿宋" w:eastAsia="仿宋" w:hAnsi="仿宋" w:cs="仿宋" w:hint="eastAsia"/>
                <w:kern w:val="0"/>
                <w:sz w:val="28"/>
                <w:szCs w:val="28"/>
              </w:rPr>
              <w:t>。</w:t>
            </w:r>
          </w:p>
        </w:tc>
      </w:tr>
      <w:tr w:rsidR="003E4656">
        <w:trPr>
          <w:trHeight w:val="500"/>
          <w:tblCellSpacing w:w="0" w:type="dxa"/>
        </w:trPr>
        <w:tc>
          <w:tcPr>
            <w:tcW w:w="905" w:type="dxa"/>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pStyle w:val="a5"/>
              <w:widowControl/>
              <w:snapToGrid w:val="0"/>
              <w:spacing w:beforeAutospacing="0" w:afterAutospacing="0"/>
              <w:rPr>
                <w:rFonts w:ascii="仿宋" w:eastAsia="仿宋" w:hAnsi="仿宋" w:cs="仿宋"/>
                <w:sz w:val="28"/>
                <w:szCs w:val="28"/>
              </w:rPr>
            </w:pPr>
            <w:r>
              <w:rPr>
                <w:rFonts w:ascii="仿宋" w:eastAsia="仿宋" w:hAnsi="仿宋" w:cs="仿宋" w:hint="eastAsia"/>
                <w:sz w:val="28"/>
                <w:szCs w:val="28"/>
              </w:rPr>
              <w:t>特别约定</w:t>
            </w:r>
          </w:p>
        </w:tc>
        <w:tc>
          <w:tcPr>
            <w:tcW w:w="7461" w:type="dxa"/>
            <w:gridSpan w:val="2"/>
            <w:tcBorders>
              <w:top w:val="single" w:sz="6" w:space="0" w:color="AA1628"/>
              <w:left w:val="single" w:sz="6" w:space="0" w:color="AA1628"/>
              <w:bottom w:val="single" w:sz="6" w:space="0" w:color="AA1628"/>
              <w:right w:val="single" w:sz="6" w:space="0" w:color="AA1628"/>
            </w:tcBorders>
            <w:shd w:val="clear" w:color="auto" w:fill="F1E7E8"/>
            <w:tcMar>
              <w:top w:w="72" w:type="dxa"/>
              <w:left w:w="108" w:type="dxa"/>
              <w:bottom w:w="72" w:type="dxa"/>
              <w:right w:w="108" w:type="dxa"/>
            </w:tcMar>
            <w:vAlign w:val="center"/>
          </w:tcPr>
          <w:p w:rsidR="003E4656" w:rsidRDefault="00F44461">
            <w:pPr>
              <w:snapToGrid w:val="0"/>
              <w:ind w:firstLineChars="200" w:firstLine="560"/>
              <w:rPr>
                <w:rFonts w:ascii="仿宋" w:eastAsia="仿宋" w:hAnsi="仿宋" w:cs="仿宋"/>
                <w:kern w:val="0"/>
                <w:sz w:val="28"/>
                <w:szCs w:val="28"/>
              </w:rPr>
            </w:pPr>
            <w:r>
              <w:rPr>
                <w:rFonts w:ascii="仿宋" w:eastAsia="仿宋" w:hAnsi="仿宋" w:cs="仿宋" w:hint="eastAsia"/>
                <w:kern w:val="0"/>
                <w:sz w:val="28"/>
                <w:szCs w:val="28"/>
              </w:rPr>
              <w:t>试点企业无正当理由不得中途退保</w:t>
            </w:r>
          </w:p>
        </w:tc>
      </w:tr>
    </w:tbl>
    <w:p w:rsidR="003E4656" w:rsidRDefault="003E4656">
      <w:pPr>
        <w:adjustRightInd w:val="0"/>
        <w:snapToGrid w:val="0"/>
        <w:spacing w:line="360" w:lineRule="auto"/>
        <w:rPr>
          <w:rFonts w:ascii="仿宋" w:eastAsia="仿宋" w:hAnsi="仿宋" w:cs="仿宋"/>
          <w:sz w:val="28"/>
          <w:szCs w:val="28"/>
          <w:highlight w:val="yellow"/>
        </w:rPr>
      </w:pPr>
    </w:p>
    <w:p w:rsidR="003E4656" w:rsidRDefault="00F44461">
      <w:pPr>
        <w:adjustRightInd w:val="0"/>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四、保险期限</w:t>
      </w:r>
    </w:p>
    <w:p w:rsidR="003E4656" w:rsidRDefault="00F4446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本试点产品的保险期限为一年。</w:t>
      </w:r>
    </w:p>
    <w:p w:rsidR="003E4656" w:rsidRDefault="003E4656">
      <w:pPr>
        <w:adjustRightInd w:val="0"/>
        <w:snapToGrid w:val="0"/>
        <w:spacing w:line="560" w:lineRule="exact"/>
        <w:ind w:firstLineChars="200" w:firstLine="640"/>
        <w:rPr>
          <w:rFonts w:ascii="仿宋" w:eastAsia="仿宋" w:hAnsi="仿宋" w:cs="仿宋"/>
          <w:sz w:val="32"/>
          <w:szCs w:val="32"/>
        </w:rPr>
      </w:pPr>
    </w:p>
    <w:sectPr w:rsidR="003E465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61" w:rsidRDefault="00F44461">
      <w:r>
        <w:separator/>
      </w:r>
    </w:p>
  </w:endnote>
  <w:endnote w:type="continuationSeparator" w:id="0">
    <w:p w:rsidR="00F44461" w:rsidRDefault="00F4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93361"/>
    </w:sdtPr>
    <w:sdtEndPr>
      <w:rPr>
        <w:rFonts w:asciiTheme="minorEastAsia" w:hAnsiTheme="minorEastAsia"/>
        <w:sz w:val="28"/>
        <w:szCs w:val="28"/>
      </w:rPr>
    </w:sdtEndPr>
    <w:sdtContent>
      <w:p w:rsidR="003E4656" w:rsidRDefault="00F44461">
        <w:pPr>
          <w:pStyle w:val="a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7639D" w:rsidRPr="0057639D">
          <w:rPr>
            <w:rFonts w:asciiTheme="minorEastAsia" w:hAnsiTheme="minorEastAsia"/>
            <w:noProof/>
            <w:sz w:val="28"/>
            <w:szCs w:val="28"/>
            <w:lang w:val="zh-CN"/>
          </w:rPr>
          <w:t>-</w:t>
        </w:r>
        <w:r w:rsidR="0057639D">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61" w:rsidRDefault="00F44461">
      <w:r>
        <w:separator/>
      </w:r>
    </w:p>
  </w:footnote>
  <w:footnote w:type="continuationSeparator" w:id="0">
    <w:p w:rsidR="00F44461" w:rsidRDefault="00F44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0CBA5A"/>
    <w:multiLevelType w:val="singleLevel"/>
    <w:tmpl w:val="9F0CBA5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56"/>
    <w:rsid w:val="003E4656"/>
    <w:rsid w:val="0057639D"/>
    <w:rsid w:val="00F4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CD62AE-AE28-4643-BA49-EA5C9B0C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FollowedHyperlink"/>
    <w:basedOn w:val="a0"/>
    <w:rPr>
      <w:color w:val="954F72" w:themeColor="followedHyperlink"/>
      <w:u w:val="single"/>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customStyle="1" w:styleId="1">
    <w:name w:val="修订1"/>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CHINA-PICC</dc:creator>
  <cp:lastModifiedBy>zhangh</cp:lastModifiedBy>
  <cp:revision>7</cp:revision>
  <cp:lastPrinted>2022-05-18T23:16:00Z</cp:lastPrinted>
  <dcterms:created xsi:type="dcterms:W3CDTF">2022-05-18T23:02:00Z</dcterms:created>
  <dcterms:modified xsi:type="dcterms:W3CDTF">2023-07-04T09:47:00Z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2052-11.38.1</vt:lpwstr>
  </property>
  <property fmtid="{D5CDD505-2E9C-101B-9397-08002B2CF9AE}" pid="3" name="ICV">
    <vt:lpwstr>39DC6EE5015B4CC2AC4FE1E81FD6CD2A</vt:lpwstr>
  </property>
</Properties>
</file>