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D7C" w:rsidRDefault="007C1AD6" w:rsidP="007C1AD6">
      <w:pPr>
        <w:spacing w:line="560" w:lineRule="exact"/>
        <w:jc w:val="left"/>
        <w:outlineLvl w:val="0"/>
        <w:rPr>
          <w:rFonts w:ascii="黑体" w:eastAsia="黑体" w:hAnsi="黑体" w:cs="方正小标宋简体" w:hint="eastAsia"/>
          <w:spacing w:val="-11"/>
          <w:sz w:val="32"/>
          <w:szCs w:val="44"/>
        </w:rPr>
      </w:pPr>
      <w:bookmarkStart w:id="0" w:name="_Toc23236"/>
      <w:r w:rsidRPr="007C1AD6">
        <w:rPr>
          <w:rFonts w:ascii="黑体" w:eastAsia="黑体" w:hAnsi="黑体" w:cs="方正小标宋简体" w:hint="eastAsia"/>
          <w:spacing w:val="-11"/>
          <w:sz w:val="32"/>
          <w:szCs w:val="44"/>
        </w:rPr>
        <w:t>附件1</w:t>
      </w:r>
    </w:p>
    <w:p w:rsidR="007C1AD6" w:rsidRPr="007C1AD6" w:rsidRDefault="007C1AD6" w:rsidP="007C1AD6">
      <w:pPr>
        <w:spacing w:line="560" w:lineRule="exact"/>
        <w:jc w:val="left"/>
        <w:outlineLvl w:val="0"/>
        <w:rPr>
          <w:rFonts w:ascii="黑体" w:eastAsia="黑体" w:hAnsi="黑体" w:cs="方正小标宋简体"/>
          <w:spacing w:val="-11"/>
          <w:sz w:val="32"/>
          <w:szCs w:val="44"/>
        </w:rPr>
      </w:pPr>
    </w:p>
    <w:p w:rsidR="00AA4D7C" w:rsidRDefault="0036594C">
      <w:pPr>
        <w:spacing w:line="560" w:lineRule="exact"/>
        <w:jc w:val="center"/>
        <w:outlineLvl w:val="0"/>
        <w:rPr>
          <w:rFonts w:ascii="方正小标宋简体" w:eastAsia="方正小标宋简体" w:hAnsi="方正小标宋简体" w:cs="方正小标宋简体"/>
          <w:spacing w:val="-11"/>
          <w:sz w:val="44"/>
          <w:szCs w:val="44"/>
        </w:rPr>
      </w:pPr>
      <w:r>
        <w:rPr>
          <w:rFonts w:ascii="方正小标宋简体" w:eastAsia="方正小标宋简体" w:hAnsi="方正小标宋简体" w:cs="方正小标宋简体" w:hint="eastAsia"/>
          <w:spacing w:val="-11"/>
          <w:sz w:val="44"/>
          <w:szCs w:val="44"/>
        </w:rPr>
        <w:t>北京市海外知识产权维权援助工作</w:t>
      </w:r>
      <w:bookmarkEnd w:id="0"/>
      <w:r>
        <w:rPr>
          <w:rFonts w:ascii="方正小标宋简体" w:eastAsia="方正小标宋简体" w:hAnsi="方正小标宋简体" w:cs="方正小标宋简体" w:hint="eastAsia"/>
          <w:spacing w:val="-11"/>
          <w:sz w:val="44"/>
          <w:szCs w:val="44"/>
        </w:rPr>
        <w:t>管理办法</w:t>
      </w:r>
    </w:p>
    <w:p w:rsidR="00AA4D7C" w:rsidRDefault="0036594C">
      <w:pPr>
        <w:spacing w:line="560" w:lineRule="exact"/>
        <w:jc w:val="center"/>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（征求意见稿）</w:t>
      </w:r>
    </w:p>
    <w:p w:rsidR="00AA4D7C" w:rsidRDefault="00AA4D7C">
      <w:pPr>
        <w:spacing w:line="560" w:lineRule="exact"/>
        <w:jc w:val="left"/>
        <w:outlineLvl w:val="0"/>
        <w:rPr>
          <w:rFonts w:ascii="黑体" w:eastAsia="黑体" w:hAnsi="黑体" w:cs="黑体"/>
          <w:sz w:val="32"/>
          <w:szCs w:val="32"/>
        </w:rPr>
      </w:pPr>
    </w:p>
    <w:p w:rsidR="00AA4D7C" w:rsidRDefault="0036594C">
      <w:pPr>
        <w:numPr>
          <w:ilvl w:val="0"/>
          <w:numId w:val="3"/>
        </w:numPr>
        <w:spacing w:line="560" w:lineRule="exact"/>
        <w:jc w:val="center"/>
        <w:outlineLvl w:val="0"/>
        <w:rPr>
          <w:rFonts w:ascii="黑体" w:eastAsia="黑体" w:hAnsi="黑体" w:cs="黑体"/>
          <w:sz w:val="32"/>
          <w:szCs w:val="32"/>
        </w:rPr>
      </w:pPr>
      <w:bookmarkStart w:id="1" w:name="_Toc30627"/>
      <w:r>
        <w:rPr>
          <w:rFonts w:ascii="黑体" w:eastAsia="黑体" w:hAnsi="黑体" w:cs="黑体" w:hint="eastAsia"/>
          <w:sz w:val="32"/>
          <w:szCs w:val="32"/>
        </w:rPr>
        <w:t>总则</w:t>
      </w:r>
      <w:bookmarkEnd w:id="1"/>
    </w:p>
    <w:p w:rsidR="00AA4D7C" w:rsidRDefault="0036594C">
      <w:pPr>
        <w:numPr>
          <w:ilvl w:val="0"/>
          <w:numId w:val="4"/>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【目的意义】为了提升本市知识产权涉外风险防控水平，规范本市海外知识产权维权援助工作，根据《知识产权强国建设纲要（</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2035</w:t>
      </w:r>
      <w:r>
        <w:rPr>
          <w:rFonts w:ascii="仿宋_GB2312" w:eastAsia="仿宋_GB2312" w:hAnsi="仿宋_GB2312" w:cs="仿宋_GB2312" w:hint="eastAsia"/>
          <w:sz w:val="32"/>
          <w:szCs w:val="32"/>
        </w:rPr>
        <w:t>年）》《关于强化知识产权保护的意见》《北京市知识产权保护条例》等法律法规和相关文件规定，结合本市实际，制定本办法。</w:t>
      </w:r>
    </w:p>
    <w:p w:rsidR="00AA4D7C" w:rsidRDefault="0036594C">
      <w:pPr>
        <w:numPr>
          <w:ilvl w:val="0"/>
          <w:numId w:val="4"/>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【定义及范围】本办法所称海外知识产权维权援助是指北京市知识产权管理部门</w:t>
      </w:r>
      <w:r>
        <w:rPr>
          <w:rFonts w:ascii="仿宋_GB2312" w:eastAsia="仿宋_GB2312" w:hAnsi="仿宋_GB2312" w:cs="仿宋_GB2312" w:hint="eastAsia"/>
          <w:sz w:val="32"/>
          <w:szCs w:val="32"/>
        </w:rPr>
        <w:t>引导</w:t>
      </w:r>
      <w:r>
        <w:rPr>
          <w:rFonts w:ascii="仿宋_GB2312" w:eastAsia="仿宋_GB2312" w:hAnsi="仿宋_GB2312" w:cs="仿宋_GB2312" w:hint="eastAsia"/>
          <w:sz w:val="32"/>
          <w:szCs w:val="32"/>
        </w:rPr>
        <w:t>本市行业协会、服务机构等优势资源，为提升企业知识产权涉外风险防控能力所提供的各类公共服务，包括以下内容：</w:t>
      </w:r>
    </w:p>
    <w:p w:rsidR="00AA4D7C" w:rsidRDefault="0036594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（一）海外知识产权</w:t>
      </w:r>
      <w:r>
        <w:rPr>
          <w:rFonts w:ascii="仿宋_GB2312" w:eastAsia="仿宋_GB2312" w:hAnsi="仿宋_GB2312" w:cs="仿宋_GB2312" w:hint="eastAsia"/>
          <w:sz w:val="32"/>
          <w:szCs w:val="32"/>
        </w:rPr>
        <w:t>风险预警</w:t>
      </w:r>
      <w:r>
        <w:rPr>
          <w:rFonts w:ascii="仿宋_GB2312" w:eastAsia="仿宋_GB2312" w:hAnsi="仿宋_GB2312" w:cs="仿宋_GB2312" w:hint="eastAsia"/>
          <w:sz w:val="32"/>
          <w:szCs w:val="32"/>
        </w:rPr>
        <w:t>服务；</w:t>
      </w:r>
    </w:p>
    <w:p w:rsidR="00AA4D7C" w:rsidRDefault="0036594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（二）海外知识产权纠纷应对指导；</w:t>
      </w:r>
    </w:p>
    <w:p w:rsidR="00AA4D7C" w:rsidRDefault="0036594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（三）其他海外知识产权维权援助服务。</w:t>
      </w:r>
    </w:p>
    <w:p w:rsidR="00AA4D7C" w:rsidRDefault="0036594C">
      <w:pPr>
        <w:numPr>
          <w:ilvl w:val="0"/>
          <w:numId w:val="4"/>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【工作原则】本市海外知识产权维权援助工作坚持政府引导、多方联动、问题导向、重点突破的原则。</w:t>
      </w:r>
    </w:p>
    <w:p w:rsidR="00AA4D7C" w:rsidRDefault="0036594C">
      <w:pPr>
        <w:numPr>
          <w:ilvl w:val="0"/>
          <w:numId w:val="4"/>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【工作体系】本市建立央地协同、合作共享、横向互联、纵向互通的海外知识产权维权援助工作体系，提升海外</w:t>
      </w:r>
      <w:r>
        <w:rPr>
          <w:rFonts w:ascii="仿宋_GB2312" w:eastAsia="仿宋_GB2312" w:hAnsi="仿宋_GB2312" w:cs="仿宋_GB2312" w:hint="eastAsia"/>
          <w:sz w:val="32"/>
          <w:szCs w:val="32"/>
        </w:rPr>
        <w:lastRenderedPageBreak/>
        <w:t>知识产权风险防控能力。</w:t>
      </w:r>
    </w:p>
    <w:p w:rsidR="00AA4D7C" w:rsidRDefault="0036594C">
      <w:pPr>
        <w:numPr>
          <w:ilvl w:val="0"/>
          <w:numId w:val="4"/>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【京津冀联动】本市推进京津冀海外知识产权维权援助区域协作，共享服务资源，联合开展海外知识产权纠纷应对指导。</w:t>
      </w:r>
    </w:p>
    <w:p w:rsidR="00AA4D7C" w:rsidRDefault="0036594C">
      <w:pPr>
        <w:numPr>
          <w:ilvl w:val="0"/>
          <w:numId w:val="3"/>
        </w:numPr>
        <w:spacing w:line="560" w:lineRule="exact"/>
        <w:jc w:val="center"/>
        <w:outlineLvl w:val="0"/>
        <w:rPr>
          <w:rFonts w:ascii="黑体" w:eastAsia="黑体" w:hAnsi="黑体" w:cs="黑体"/>
          <w:sz w:val="32"/>
          <w:szCs w:val="32"/>
        </w:rPr>
      </w:pPr>
      <w:bookmarkStart w:id="2" w:name="_Toc28547"/>
      <w:r>
        <w:rPr>
          <w:rFonts w:ascii="黑体" w:eastAsia="黑体" w:hAnsi="黑体" w:cs="黑体" w:hint="eastAsia"/>
          <w:sz w:val="32"/>
          <w:szCs w:val="32"/>
        </w:rPr>
        <w:t>体系建设</w:t>
      </w:r>
      <w:bookmarkEnd w:id="2"/>
    </w:p>
    <w:p w:rsidR="00AA4D7C" w:rsidRDefault="0036594C">
      <w:pPr>
        <w:numPr>
          <w:ilvl w:val="0"/>
          <w:numId w:val="4"/>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【政府职责】北京市知识产权局负责牵头整合</w:t>
      </w:r>
      <w:r>
        <w:rPr>
          <w:rFonts w:ascii="仿宋_GB2312" w:eastAsia="仿宋_GB2312" w:hAnsi="仿宋_GB2312" w:cs="仿宋_GB2312" w:hint="eastAsia"/>
          <w:sz w:val="32"/>
          <w:szCs w:val="32"/>
        </w:rPr>
        <w:t>本市</w:t>
      </w:r>
      <w:r>
        <w:rPr>
          <w:rFonts w:ascii="仿宋_GB2312" w:eastAsia="仿宋_GB2312" w:hAnsi="仿宋_GB2312" w:cs="仿宋_GB2312" w:hint="eastAsia"/>
          <w:sz w:val="32"/>
          <w:szCs w:val="32"/>
        </w:rPr>
        <w:t>知识产权部门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行业协会、服务机构、企业等各方资源，完善本市海外知识产权维权援助工作体系，推动本市知识产权权利人合法权益在海外依法得到保护。</w:t>
      </w:r>
      <w:r>
        <w:rPr>
          <w:rFonts w:ascii="仿宋_GB2312" w:eastAsia="仿宋_GB2312" w:hAnsi="仿宋_GB2312" w:cs="仿宋_GB2312" w:hint="eastAsia"/>
          <w:sz w:val="32"/>
          <w:szCs w:val="32"/>
        </w:rPr>
        <w:t xml:space="preserve"> </w:t>
      </w:r>
    </w:p>
    <w:p w:rsidR="00AA4D7C" w:rsidRDefault="0036594C">
      <w:pPr>
        <w:widowControl/>
        <w:spacing w:line="560" w:lineRule="exact"/>
        <w:ind w:firstLineChars="200" w:firstLine="640"/>
        <w:jc w:val="left"/>
        <w:rPr>
          <w:rFonts w:ascii="楷体_GB2312" w:eastAsia="楷体_GB2312" w:hAnsi="Calibri" w:cs="楷体_GB2312"/>
          <w:sz w:val="28"/>
          <w:szCs w:val="28"/>
        </w:rPr>
      </w:pPr>
      <w:r>
        <w:rPr>
          <w:rFonts w:ascii="仿宋_GB2312" w:eastAsia="仿宋_GB2312" w:hAnsi="仿宋_GB2312" w:cs="仿宋_GB2312" w:hint="eastAsia"/>
          <w:sz w:val="32"/>
          <w:szCs w:val="32"/>
        </w:rPr>
        <w:t>区级知识产权管理部门负责收集报送企业海外知识产权维权援助需求线索，提供培训宣传、咨询指导等服务。鼓励有条件的区建立区级海外知识产权维权援助工作体系。</w:t>
      </w:r>
    </w:p>
    <w:p w:rsidR="00AA4D7C" w:rsidRDefault="0036594C">
      <w:pPr>
        <w:widowControl/>
        <w:numPr>
          <w:ilvl w:val="0"/>
          <w:numId w:val="4"/>
        </w:num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【中心职责】北京市知识产权维权援助中心（简称“维权中心”），负责北京市海外知识产权维权援助</w:t>
      </w:r>
      <w:r>
        <w:rPr>
          <w:rFonts w:ascii="仿宋_GB2312" w:eastAsia="仿宋_GB2312" w:hAnsi="仿宋_GB2312" w:cs="仿宋_GB2312" w:hint="eastAsia"/>
          <w:sz w:val="32"/>
          <w:szCs w:val="32"/>
        </w:rPr>
        <w:t>具体</w:t>
      </w:r>
      <w:r>
        <w:rPr>
          <w:rFonts w:ascii="仿宋_GB2312" w:eastAsia="仿宋_GB2312" w:hAnsi="仿宋_GB2312" w:cs="仿宋_GB2312" w:hint="eastAsia"/>
          <w:sz w:val="32"/>
          <w:szCs w:val="32"/>
        </w:rPr>
        <w:t>工作，设立海外知识产权纠纷应对指导北京分中心，开展海外知识产权纠纷应对指导，为企业提供公益性指导服务。</w:t>
      </w:r>
    </w:p>
    <w:p w:rsidR="00AA4D7C" w:rsidRDefault="0036594C">
      <w:pPr>
        <w:numPr>
          <w:ilvl w:val="0"/>
          <w:numId w:val="4"/>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【行业协会职责】行业协会</w:t>
      </w:r>
      <w:r>
        <w:rPr>
          <w:rFonts w:ascii="仿宋_GB2312" w:eastAsia="仿宋_GB2312" w:hAnsi="仿宋_GB2312" w:cs="仿宋_GB2312" w:hint="eastAsia"/>
          <w:sz w:val="32"/>
          <w:szCs w:val="32"/>
        </w:rPr>
        <w:t>要发挥资源链</w:t>
      </w:r>
      <w:r>
        <w:rPr>
          <w:rFonts w:ascii="仿宋_GB2312" w:eastAsia="仿宋_GB2312" w:hAnsi="仿宋_GB2312" w:cs="仿宋_GB2312" w:hint="eastAsia"/>
          <w:sz w:val="32"/>
          <w:szCs w:val="32"/>
        </w:rPr>
        <w:t>接优势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跟踪行业国际知识</w:t>
      </w:r>
      <w:r>
        <w:rPr>
          <w:rFonts w:ascii="仿宋_GB2312" w:eastAsia="仿宋_GB2312" w:hAnsi="仿宋_GB2312" w:cs="仿宋_GB2312" w:hint="eastAsia"/>
          <w:sz w:val="32"/>
          <w:szCs w:val="32"/>
        </w:rPr>
        <w:t>产权动态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反映行业诉求，</w:t>
      </w:r>
      <w:r>
        <w:rPr>
          <w:rFonts w:ascii="仿宋_GB2312" w:eastAsia="仿宋_GB2312" w:hAnsi="仿宋_GB2312" w:cs="仿宋_GB2312" w:hint="eastAsia"/>
          <w:sz w:val="32"/>
          <w:szCs w:val="32"/>
        </w:rPr>
        <w:t>指导</w:t>
      </w:r>
      <w:r>
        <w:rPr>
          <w:rFonts w:ascii="仿宋_GB2312" w:eastAsia="仿宋_GB2312" w:hAnsi="仿宋_GB2312" w:cs="仿宋_GB2312" w:hint="eastAsia"/>
          <w:sz w:val="32"/>
          <w:szCs w:val="32"/>
        </w:rPr>
        <w:t>行业</w:t>
      </w:r>
      <w:r>
        <w:rPr>
          <w:rFonts w:ascii="仿宋_GB2312" w:eastAsia="仿宋_GB2312" w:hAnsi="仿宋_GB2312" w:cs="仿宋_GB2312" w:hint="eastAsia"/>
          <w:sz w:val="32"/>
          <w:szCs w:val="32"/>
        </w:rPr>
        <w:t>企业</w:t>
      </w:r>
      <w:r>
        <w:rPr>
          <w:rFonts w:ascii="仿宋_GB2312" w:eastAsia="仿宋_GB2312" w:hAnsi="仿宋_GB2312" w:cs="仿宋_GB2312" w:hint="eastAsia"/>
          <w:sz w:val="32"/>
          <w:szCs w:val="32"/>
        </w:rPr>
        <w:t>规范</w:t>
      </w:r>
      <w:r>
        <w:rPr>
          <w:rFonts w:ascii="仿宋_GB2312" w:eastAsia="仿宋_GB2312" w:hAnsi="仿宋_GB2312" w:cs="仿宋_GB2312" w:hint="eastAsia"/>
          <w:sz w:val="32"/>
          <w:szCs w:val="32"/>
        </w:rPr>
        <w:t>知识产权</w:t>
      </w:r>
      <w:r>
        <w:rPr>
          <w:rFonts w:ascii="仿宋_GB2312" w:eastAsia="仿宋_GB2312" w:hAnsi="仿宋_GB2312" w:cs="仿宋_GB2312" w:hint="eastAsia"/>
          <w:sz w:val="32"/>
          <w:szCs w:val="32"/>
        </w:rPr>
        <w:t>活动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为企业提供海外知识产权保护服务。</w:t>
      </w:r>
    </w:p>
    <w:p w:rsidR="00AA4D7C" w:rsidRDefault="0036594C" w:rsidP="002C61D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本市知识产权领域行业协会指导知识产权服务机构与欧美国家（地区）、共建“一带一路”国家、</w:t>
      </w:r>
      <w:r>
        <w:rPr>
          <w:rFonts w:ascii="仿宋_GB2312" w:eastAsia="仿宋_GB2312" w:hAnsi="仿宋_GB2312" w:cs="仿宋_GB2312" w:hint="eastAsia"/>
          <w:sz w:val="32"/>
          <w:szCs w:val="32"/>
        </w:rPr>
        <w:t>RCEP</w:t>
      </w:r>
      <w:r>
        <w:rPr>
          <w:rFonts w:ascii="仿宋_GB2312" w:eastAsia="仿宋_GB2312" w:hAnsi="仿宋_GB2312" w:cs="仿宋_GB2312" w:hint="eastAsia"/>
          <w:sz w:val="32"/>
          <w:szCs w:val="32"/>
        </w:rPr>
        <w:t>国家知识产权服务机构加强交流，在知识产权信息、法律服务等方面建立务实</w:t>
      </w:r>
      <w:r>
        <w:rPr>
          <w:rFonts w:ascii="仿宋_GB2312" w:eastAsia="仿宋_GB2312" w:hAnsi="仿宋_GB2312" w:cs="仿宋_GB2312" w:hint="eastAsia"/>
          <w:sz w:val="32"/>
          <w:szCs w:val="32"/>
        </w:rPr>
        <w:lastRenderedPageBreak/>
        <w:t>合作机制，发布本市涉外优质知识产权服务机构名录，指导企业运用海外知识产权优质服务资源，加强海外知识产权保护。</w:t>
      </w:r>
    </w:p>
    <w:p w:rsidR="00AA4D7C" w:rsidRDefault="0036594C">
      <w:pPr>
        <w:numPr>
          <w:ilvl w:val="0"/>
          <w:numId w:val="4"/>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【服务机构职责】</w:t>
      </w:r>
      <w:r>
        <w:rPr>
          <w:rFonts w:ascii="仿宋_GB2312" w:eastAsia="仿宋_GB2312" w:hAnsi="仿宋_GB2312" w:cs="仿宋_GB2312" w:hint="eastAsia"/>
          <w:sz w:val="32"/>
          <w:szCs w:val="32"/>
        </w:rPr>
        <w:t>鼓励</w:t>
      </w:r>
      <w:r>
        <w:rPr>
          <w:rFonts w:ascii="仿宋_GB2312" w:eastAsia="仿宋_GB2312" w:hAnsi="仿宋_GB2312" w:cs="仿宋_GB2312" w:hint="eastAsia"/>
          <w:sz w:val="32"/>
          <w:szCs w:val="32"/>
        </w:rPr>
        <w:t>本市</w:t>
      </w:r>
      <w:r>
        <w:rPr>
          <w:rFonts w:ascii="仿宋_GB2312" w:eastAsia="仿宋_GB2312" w:hAnsi="仿宋_GB2312" w:cs="仿宋_GB2312" w:hint="eastAsia"/>
          <w:sz w:val="32"/>
          <w:szCs w:val="32"/>
        </w:rPr>
        <w:t>知识产权服务机构加强海外知识产权实务人才培养，通过信息咨询、宣传培训、维权指导等方式，提供高质量海外知识产权维权服务。</w:t>
      </w:r>
    </w:p>
    <w:p w:rsidR="00AA4D7C" w:rsidRDefault="0036594C">
      <w:pPr>
        <w:numPr>
          <w:ilvl w:val="0"/>
          <w:numId w:val="4"/>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【企业职责】企业应当</w:t>
      </w:r>
      <w:r>
        <w:rPr>
          <w:rFonts w:ascii="仿宋_GB2312" w:eastAsia="仿宋_GB2312" w:hAnsi="仿宋_GB2312" w:cs="仿宋_GB2312" w:hint="eastAsia"/>
          <w:sz w:val="32"/>
          <w:szCs w:val="32"/>
        </w:rPr>
        <w:t>尊重</w:t>
      </w:r>
      <w:r>
        <w:rPr>
          <w:rFonts w:ascii="仿宋_GB2312" w:eastAsia="仿宋_GB2312" w:hAnsi="仿宋_GB2312" w:cs="仿宋_GB2312" w:hint="eastAsia"/>
          <w:sz w:val="32"/>
          <w:szCs w:val="32"/>
        </w:rPr>
        <w:t>知识产权</w:t>
      </w:r>
      <w:r>
        <w:rPr>
          <w:rFonts w:ascii="仿宋_GB2312" w:eastAsia="仿宋_GB2312" w:hAnsi="仿宋_GB2312" w:cs="仿宋_GB2312" w:hint="eastAsia"/>
          <w:sz w:val="32"/>
          <w:szCs w:val="32"/>
        </w:rPr>
        <w:t>保护</w:t>
      </w:r>
      <w:r>
        <w:rPr>
          <w:rFonts w:ascii="仿宋_GB2312" w:eastAsia="仿宋_GB2312" w:hAnsi="仿宋_GB2312" w:cs="仿宋_GB2312" w:hint="eastAsia"/>
          <w:sz w:val="32"/>
          <w:szCs w:val="32"/>
        </w:rPr>
        <w:t>国际规则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建设企业知识产权合规管理体系，</w:t>
      </w:r>
      <w:r>
        <w:rPr>
          <w:rFonts w:ascii="仿宋_GB2312" w:eastAsia="仿宋_GB2312" w:hAnsi="仿宋_GB2312" w:cs="仿宋_GB2312"/>
          <w:sz w:val="32"/>
          <w:szCs w:val="32"/>
        </w:rPr>
        <w:t>加强</w:t>
      </w:r>
      <w:r>
        <w:rPr>
          <w:rFonts w:ascii="仿宋_GB2312" w:eastAsia="仿宋_GB2312" w:hAnsi="仿宋_GB2312" w:cs="仿宋_GB2312"/>
          <w:sz w:val="32"/>
          <w:szCs w:val="32"/>
        </w:rPr>
        <w:t>海外</w:t>
      </w:r>
      <w:r>
        <w:rPr>
          <w:rFonts w:ascii="仿宋_GB2312" w:eastAsia="仿宋_GB2312" w:hAnsi="仿宋_GB2312" w:cs="仿宋_GB2312"/>
          <w:sz w:val="32"/>
          <w:szCs w:val="32"/>
        </w:rPr>
        <w:t>知识产权</w:t>
      </w:r>
      <w:r>
        <w:rPr>
          <w:rFonts w:ascii="仿宋_GB2312" w:eastAsia="仿宋_GB2312" w:hAnsi="仿宋_GB2312" w:cs="仿宋_GB2312"/>
          <w:sz w:val="32"/>
          <w:szCs w:val="32"/>
        </w:rPr>
        <w:t>布局</w:t>
      </w:r>
      <w:r>
        <w:rPr>
          <w:rFonts w:ascii="仿宋_GB2312" w:eastAsia="仿宋_GB2312" w:hAnsi="仿宋_GB2312" w:cs="仿宋_GB2312"/>
          <w:sz w:val="32"/>
          <w:szCs w:val="32"/>
        </w:rPr>
        <w:t>，</w:t>
      </w:r>
      <w:r>
        <w:rPr>
          <w:rFonts w:ascii="仿宋_GB2312" w:eastAsia="仿宋_GB2312" w:hAnsi="仿宋_GB2312" w:cs="仿宋_GB2312"/>
          <w:sz w:val="32"/>
          <w:szCs w:val="32"/>
        </w:rPr>
        <w:t>主动</w:t>
      </w:r>
      <w:r>
        <w:rPr>
          <w:rFonts w:ascii="仿宋_GB2312" w:eastAsia="仿宋_GB2312" w:hAnsi="仿宋_GB2312" w:cs="仿宋_GB2312"/>
          <w:sz w:val="32"/>
          <w:szCs w:val="32"/>
        </w:rPr>
        <w:t>开展</w:t>
      </w:r>
      <w:r>
        <w:rPr>
          <w:rFonts w:ascii="仿宋_GB2312" w:eastAsia="仿宋_GB2312" w:hAnsi="仿宋_GB2312" w:cs="仿宋_GB2312"/>
          <w:sz w:val="32"/>
          <w:szCs w:val="32"/>
        </w:rPr>
        <w:t>海外</w:t>
      </w:r>
      <w:r>
        <w:rPr>
          <w:rFonts w:ascii="仿宋_GB2312" w:eastAsia="仿宋_GB2312" w:hAnsi="仿宋_GB2312" w:cs="仿宋_GB2312"/>
          <w:sz w:val="32"/>
          <w:szCs w:val="32"/>
        </w:rPr>
        <w:t>知识产权</w:t>
      </w:r>
      <w:r>
        <w:rPr>
          <w:rFonts w:ascii="仿宋_GB2312" w:eastAsia="仿宋_GB2312" w:hAnsi="仿宋_GB2312" w:cs="仿宋_GB2312"/>
          <w:sz w:val="32"/>
          <w:szCs w:val="32"/>
        </w:rPr>
        <w:t>风险</w:t>
      </w:r>
      <w:r>
        <w:rPr>
          <w:rFonts w:ascii="仿宋_GB2312" w:eastAsia="仿宋_GB2312" w:hAnsi="仿宋_GB2312" w:cs="仿宋_GB2312"/>
          <w:sz w:val="32"/>
          <w:szCs w:val="32"/>
        </w:rPr>
        <w:t>排查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积极维护合法权益</w:t>
      </w:r>
      <w:r>
        <w:rPr>
          <w:rFonts w:ascii="仿宋_GB2312" w:eastAsia="仿宋_GB2312" w:hAnsi="仿宋_GB2312" w:cs="仿宋_GB2312" w:hint="eastAsia"/>
          <w:sz w:val="32"/>
          <w:szCs w:val="32"/>
        </w:rPr>
        <w:t>。</w:t>
      </w:r>
    </w:p>
    <w:p w:rsidR="00AA4D7C" w:rsidRDefault="0036594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发挥海外知识产权保护</w:t>
      </w:r>
      <w:r>
        <w:rPr>
          <w:rFonts w:ascii="仿宋_GB2312" w:eastAsia="仿宋_GB2312" w:hAnsi="仿宋_GB2312" w:cs="仿宋_GB2312" w:hint="eastAsia"/>
          <w:sz w:val="32"/>
          <w:szCs w:val="32"/>
        </w:rPr>
        <w:t>联合体</w:t>
      </w:r>
      <w:r>
        <w:rPr>
          <w:rFonts w:ascii="仿宋_GB2312" w:eastAsia="仿宋_GB2312" w:hAnsi="仿宋_GB2312" w:cs="仿宋_GB2312" w:hint="eastAsia"/>
          <w:sz w:val="32"/>
          <w:szCs w:val="32"/>
        </w:rPr>
        <w:t>作用，开展海外知识产权保护状况观察、重大事件快速响应、纠纷信息通报研判、典型案例经验交流等服务，提高企业海外知识产权</w:t>
      </w:r>
      <w:r>
        <w:rPr>
          <w:rFonts w:ascii="仿宋_GB2312" w:eastAsia="仿宋_GB2312" w:hAnsi="仿宋_GB2312" w:cs="仿宋_GB2312" w:hint="eastAsia"/>
          <w:sz w:val="32"/>
          <w:szCs w:val="32"/>
        </w:rPr>
        <w:t>风险防控</w:t>
      </w:r>
      <w:r>
        <w:rPr>
          <w:rFonts w:ascii="仿宋_GB2312" w:eastAsia="仿宋_GB2312" w:hAnsi="仿宋_GB2312" w:cs="仿宋_GB2312" w:hint="eastAsia"/>
          <w:sz w:val="32"/>
          <w:szCs w:val="32"/>
        </w:rPr>
        <w:t>和纠纷应对能力。</w:t>
      </w:r>
    </w:p>
    <w:p w:rsidR="00AA4D7C" w:rsidRDefault="0036594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鼓励企业设立知识产权海外维权互助基金，缓解海外维权资金压力。</w:t>
      </w:r>
    </w:p>
    <w:p w:rsidR="00AA4D7C" w:rsidRDefault="0036594C">
      <w:pPr>
        <w:numPr>
          <w:ilvl w:val="0"/>
          <w:numId w:val="3"/>
        </w:numPr>
        <w:tabs>
          <w:tab w:val="left" w:pos="6237"/>
        </w:tabs>
        <w:spacing w:line="560" w:lineRule="exact"/>
        <w:jc w:val="center"/>
        <w:outlineLvl w:val="0"/>
        <w:rPr>
          <w:rFonts w:ascii="黑体" w:eastAsia="黑体" w:hAnsi="黑体" w:cs="黑体"/>
          <w:sz w:val="32"/>
          <w:szCs w:val="32"/>
        </w:rPr>
      </w:pPr>
      <w:bookmarkStart w:id="3" w:name="_Toc2525"/>
      <w:r>
        <w:rPr>
          <w:rFonts w:ascii="黑体" w:eastAsia="黑体" w:hAnsi="黑体" w:cs="黑体" w:hint="eastAsia"/>
          <w:sz w:val="32"/>
          <w:szCs w:val="32"/>
        </w:rPr>
        <w:t>海外知识产权纠纷应对指导</w:t>
      </w:r>
      <w:bookmarkEnd w:id="3"/>
    </w:p>
    <w:p w:rsidR="00AA4D7C" w:rsidRDefault="0036594C">
      <w:pPr>
        <w:widowControl/>
        <w:numPr>
          <w:ilvl w:val="0"/>
          <w:numId w:val="4"/>
        </w:num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【纠纷动态监测】定期监测京津冀地区企业遭遇的海外知识产权纠纷信息，向企业通报纠纷信息，提供纠纷应对咨询或指导服务。</w:t>
      </w:r>
    </w:p>
    <w:p w:rsidR="00AA4D7C" w:rsidRDefault="0036594C">
      <w:pPr>
        <w:numPr>
          <w:ilvl w:val="0"/>
          <w:numId w:val="4"/>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【纠纷案件指导】住所地在北京市的民事主体，针对在海外</w:t>
      </w:r>
      <w:r>
        <w:rPr>
          <w:rFonts w:ascii="仿宋_GB2312" w:eastAsia="仿宋_GB2312" w:hAnsi="仿宋_GB2312" w:cs="仿宋_GB2312"/>
          <w:sz w:val="32"/>
          <w:szCs w:val="32"/>
        </w:rPr>
        <w:t>发生的商标、专利、地理标志、商业秘密等知识产权纠纷</w:t>
      </w:r>
      <w:r>
        <w:rPr>
          <w:rFonts w:ascii="仿宋_GB2312" w:eastAsia="仿宋_GB2312" w:hAnsi="仿宋_GB2312" w:cs="仿宋_GB2312" w:hint="eastAsia"/>
          <w:sz w:val="32"/>
          <w:szCs w:val="32"/>
        </w:rPr>
        <w:t>，可以向维权中心提交海外知识产权纠纷应对指导申请</w:t>
      </w:r>
      <w:r>
        <w:rPr>
          <w:rFonts w:ascii="仿宋_GB2312" w:eastAsia="仿宋_GB2312" w:hAnsi="仿宋_GB2312" w:cs="仿宋_GB2312"/>
          <w:sz w:val="32"/>
          <w:szCs w:val="32"/>
        </w:rPr>
        <w:t>。</w:t>
      </w:r>
    </w:p>
    <w:p w:rsidR="00AA4D7C" w:rsidRDefault="0036594C">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维权中心</w:t>
      </w:r>
      <w:r>
        <w:rPr>
          <w:rFonts w:ascii="仿宋_GB2312" w:eastAsia="仿宋_GB2312" w:hAnsi="仿宋_GB2312" w:cs="仿宋_GB2312"/>
          <w:sz w:val="32"/>
          <w:szCs w:val="32"/>
        </w:rPr>
        <w:t>接受指导申请后，依据纠纷案件的技术领域和专</w:t>
      </w:r>
      <w:r>
        <w:rPr>
          <w:rFonts w:ascii="仿宋_GB2312" w:eastAsia="仿宋_GB2312" w:hAnsi="仿宋_GB2312" w:cs="仿宋_GB2312"/>
          <w:sz w:val="32"/>
          <w:szCs w:val="32"/>
        </w:rPr>
        <w:lastRenderedPageBreak/>
        <w:t>业要求协调专家进行指导。</w:t>
      </w:r>
    </w:p>
    <w:p w:rsidR="00AA4D7C" w:rsidRDefault="0036594C">
      <w:pPr>
        <w:widowControl/>
        <w:spacing w:line="560" w:lineRule="exact"/>
        <w:ind w:firstLineChars="200" w:firstLine="640"/>
        <w:jc w:val="left"/>
        <w:rPr>
          <w:rFonts w:ascii="楷体_GB2312" w:eastAsia="楷体_GB2312" w:hAnsi="楷体_GB2312" w:cs="楷体_GB2312"/>
          <w:sz w:val="28"/>
          <w:szCs w:val="28"/>
        </w:rPr>
      </w:pPr>
      <w:r>
        <w:rPr>
          <w:rFonts w:ascii="仿宋_GB2312" w:eastAsia="仿宋_GB2312" w:hAnsi="仿宋_GB2312" w:cs="仿宋_GB2312" w:hint="eastAsia"/>
          <w:sz w:val="32"/>
          <w:szCs w:val="32"/>
        </w:rPr>
        <w:t>申请</w:t>
      </w:r>
      <w:r>
        <w:rPr>
          <w:rFonts w:ascii="仿宋_GB2312" w:eastAsia="仿宋_GB2312" w:hAnsi="仿宋_GB2312" w:cs="仿宋_GB2312"/>
          <w:sz w:val="32"/>
          <w:szCs w:val="32"/>
        </w:rPr>
        <w:t>指导的纠纷案件</w:t>
      </w:r>
      <w:r>
        <w:rPr>
          <w:rFonts w:ascii="仿宋_GB2312" w:eastAsia="仿宋_GB2312" w:hAnsi="仿宋_GB2312" w:cs="仿宋_GB2312" w:hint="eastAsia"/>
          <w:sz w:val="32"/>
          <w:szCs w:val="32"/>
        </w:rPr>
        <w:t>同时涉及京津冀三地中任意两地以上企业的，或对三地产业协同发展有重大影响的，可以由京津冀三地海外知识产权纠纷应对指导机构开展</w:t>
      </w:r>
      <w:r>
        <w:rPr>
          <w:rFonts w:ascii="仿宋_GB2312" w:eastAsia="仿宋_GB2312" w:hAnsi="仿宋_GB2312" w:cs="仿宋_GB2312" w:hint="eastAsia"/>
          <w:sz w:val="32"/>
          <w:szCs w:val="32"/>
        </w:rPr>
        <w:t>联合指导。</w:t>
      </w:r>
    </w:p>
    <w:p w:rsidR="00AA4D7C" w:rsidRDefault="0036594C">
      <w:pPr>
        <w:widowControl/>
        <w:numPr>
          <w:ilvl w:val="0"/>
          <w:numId w:val="4"/>
        </w:num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【重点产业指导】会同行业协会为企业应对海外知识产权纠纷、争端和突发事件提供应急援助。</w:t>
      </w:r>
    </w:p>
    <w:p w:rsidR="00AA4D7C" w:rsidRDefault="0036594C">
      <w:pPr>
        <w:widowControl/>
        <w:numPr>
          <w:ilvl w:val="255"/>
          <w:numId w:val="0"/>
        </w:num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支持行业协会聚焦本行业重点领域、关键环节、痛点难点问题，提供海外知识产权风险预警、企业合规指导等服务。</w:t>
      </w:r>
    </w:p>
    <w:p w:rsidR="00AA4D7C" w:rsidRDefault="0036594C">
      <w:pPr>
        <w:numPr>
          <w:ilvl w:val="0"/>
          <w:numId w:val="4"/>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【多元化纠纷解决】会同仲裁、调解等服务机构，引导企业通过和解、调解、仲裁等方式快速解决</w:t>
      </w:r>
      <w:r w:rsidRPr="432B5F89">
        <w:rPr>
          <w:rFonts w:ascii="仿宋_GB2312" w:eastAsia="仿宋_GB2312" w:hAnsi="仿宋_GB2312" w:cs="仿宋_GB2312" w:hint="eastAsia"/>
          <w:sz w:val="32"/>
          <w:szCs w:val="32"/>
        </w:rPr>
        <w:t>涉</w:t>
      </w:r>
      <w:r w:rsidRPr="2608C4DA">
        <w:rPr>
          <w:rFonts w:ascii="仿宋_GB2312" w:eastAsia="仿宋_GB2312" w:hAnsi="仿宋_GB2312" w:cs="仿宋_GB2312" w:hint="eastAsia"/>
          <w:sz w:val="32"/>
          <w:szCs w:val="32"/>
        </w:rPr>
        <w:t>外</w:t>
      </w:r>
      <w:r>
        <w:rPr>
          <w:rFonts w:ascii="仿宋_GB2312" w:eastAsia="仿宋_GB2312" w:hAnsi="仿宋_GB2312" w:cs="仿宋_GB2312" w:hint="eastAsia"/>
          <w:sz w:val="32"/>
          <w:szCs w:val="32"/>
        </w:rPr>
        <w:t>知识产权纠纷。</w:t>
      </w:r>
    </w:p>
    <w:p w:rsidR="00AA4D7C" w:rsidRDefault="0036594C">
      <w:pPr>
        <w:numPr>
          <w:ilvl w:val="0"/>
          <w:numId w:val="4"/>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息服务】针对重点贸易和投资国家（地区），研究国别知识产权制度及典型案例、分析当地海外知识产权纠纷态势及风险，围绕新产业、新业态、新模式编发海外知识产权保护指引（指南）手册，为企业提供海外知识产权纠纷应</w:t>
      </w:r>
      <w:r>
        <w:rPr>
          <w:rFonts w:ascii="仿宋_GB2312" w:eastAsia="仿宋_GB2312" w:hAnsi="仿宋_GB2312" w:cs="仿宋_GB2312" w:hint="eastAsia"/>
          <w:sz w:val="32"/>
          <w:szCs w:val="32"/>
        </w:rPr>
        <w:t>对信息服务。</w:t>
      </w:r>
    </w:p>
    <w:p w:rsidR="00AA4D7C" w:rsidRDefault="0036594C">
      <w:pPr>
        <w:numPr>
          <w:ilvl w:val="0"/>
          <w:numId w:val="4"/>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【能力提升】开展海外知识产权</w:t>
      </w:r>
      <w:r>
        <w:rPr>
          <w:rFonts w:ascii="仿宋_GB2312" w:eastAsia="仿宋_GB2312" w:hAnsi="仿宋_GB2312" w:cs="仿宋_GB2312" w:hint="eastAsia"/>
          <w:sz w:val="32"/>
          <w:szCs w:val="32"/>
        </w:rPr>
        <w:t>风险防控</w:t>
      </w:r>
      <w:r>
        <w:rPr>
          <w:rFonts w:ascii="仿宋_GB2312" w:eastAsia="仿宋_GB2312" w:hAnsi="仿宋_GB2312" w:cs="仿宋_GB2312" w:hint="eastAsia"/>
          <w:sz w:val="32"/>
          <w:szCs w:val="32"/>
        </w:rPr>
        <w:t>和纠纷应对培训宣传，提高企业海外知识产权</w:t>
      </w:r>
      <w:r>
        <w:rPr>
          <w:rFonts w:ascii="仿宋_GB2312" w:eastAsia="仿宋_GB2312" w:hAnsi="仿宋_GB2312" w:cs="仿宋_GB2312" w:hint="eastAsia"/>
          <w:sz w:val="32"/>
          <w:szCs w:val="32"/>
        </w:rPr>
        <w:t>风险防控</w:t>
      </w:r>
      <w:r>
        <w:rPr>
          <w:rFonts w:ascii="仿宋_GB2312" w:eastAsia="仿宋_GB2312" w:hAnsi="仿宋_GB2312" w:cs="仿宋_GB2312" w:hint="eastAsia"/>
          <w:sz w:val="32"/>
          <w:szCs w:val="32"/>
        </w:rPr>
        <w:t>和纠纷应对能力。</w:t>
      </w:r>
    </w:p>
    <w:p w:rsidR="00AA4D7C" w:rsidRDefault="0036594C">
      <w:pPr>
        <w:numPr>
          <w:ilvl w:val="0"/>
          <w:numId w:val="3"/>
        </w:numPr>
        <w:spacing w:line="560" w:lineRule="exact"/>
        <w:jc w:val="center"/>
        <w:outlineLvl w:val="0"/>
        <w:rPr>
          <w:rFonts w:ascii="黑体" w:eastAsia="黑体" w:hAnsi="黑体" w:cs="黑体"/>
          <w:sz w:val="32"/>
          <w:szCs w:val="32"/>
        </w:rPr>
      </w:pPr>
      <w:bookmarkStart w:id="4" w:name="_Toc11408"/>
      <w:r>
        <w:rPr>
          <w:rFonts w:ascii="黑体" w:eastAsia="黑体" w:hAnsi="黑体" w:cs="黑体" w:hint="eastAsia"/>
          <w:sz w:val="32"/>
          <w:szCs w:val="32"/>
        </w:rPr>
        <w:t>保障措施</w:t>
      </w:r>
      <w:bookmarkEnd w:id="4"/>
    </w:p>
    <w:p w:rsidR="00AA4D7C" w:rsidRDefault="0036594C">
      <w:pPr>
        <w:widowControl/>
        <w:numPr>
          <w:ilvl w:val="0"/>
          <w:numId w:val="4"/>
        </w:num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【机制保障】发挥北京市政府与国家知识产权局合作会商机制、北京市知识产权办公会议机制以及京津冀知识</w:t>
      </w:r>
      <w:r>
        <w:rPr>
          <w:rFonts w:ascii="仿宋_GB2312" w:eastAsia="仿宋_GB2312" w:hAnsi="仿宋_GB2312" w:cs="仿宋_GB2312" w:hint="eastAsia"/>
          <w:sz w:val="32"/>
          <w:szCs w:val="32"/>
        </w:rPr>
        <w:lastRenderedPageBreak/>
        <w:t>产权协同发展机制作用，为本市海外知识产权维权援助提供机制保障。</w:t>
      </w:r>
    </w:p>
    <w:p w:rsidR="00AA4D7C" w:rsidRDefault="0036594C">
      <w:pPr>
        <w:numPr>
          <w:ilvl w:val="0"/>
          <w:numId w:val="4"/>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【资金保障】本市保障海外知识产权维权援助工作资金的投入，</w:t>
      </w:r>
      <w:r>
        <w:rPr>
          <w:rFonts w:ascii="仿宋_GB2312" w:eastAsia="仿宋_GB2312" w:hAnsi="仿宋_GB2312" w:cs="仿宋_GB2312" w:hint="eastAsia"/>
          <w:sz w:val="32"/>
          <w:szCs w:val="32"/>
        </w:rPr>
        <w:t>保障</w:t>
      </w:r>
      <w:r>
        <w:rPr>
          <w:rFonts w:ascii="仿宋_GB2312" w:eastAsia="仿宋_GB2312" w:hAnsi="仿宋_GB2312" w:cs="仿宋_GB2312" w:hint="eastAsia"/>
          <w:sz w:val="32"/>
          <w:szCs w:val="32"/>
        </w:rPr>
        <w:t>海外知识产权维权援助工作体系</w:t>
      </w:r>
      <w:r>
        <w:rPr>
          <w:rFonts w:ascii="仿宋_GB2312" w:eastAsia="仿宋_GB2312" w:hAnsi="仿宋_GB2312" w:cs="仿宋_GB2312" w:hint="eastAsia"/>
          <w:sz w:val="32"/>
          <w:szCs w:val="32"/>
        </w:rPr>
        <w:t>运行顺畅，</w:t>
      </w:r>
      <w:r>
        <w:rPr>
          <w:rFonts w:ascii="仿宋_GB2312" w:eastAsia="仿宋_GB2312" w:hAnsi="仿宋_GB2312" w:cs="仿宋_GB2312" w:hint="eastAsia"/>
          <w:sz w:val="32"/>
          <w:szCs w:val="32"/>
        </w:rPr>
        <w:t>支持</w:t>
      </w:r>
      <w:r>
        <w:rPr>
          <w:rFonts w:ascii="仿宋_GB2312" w:eastAsia="仿宋_GB2312" w:hAnsi="仿宋_GB2312" w:cs="仿宋_GB2312"/>
          <w:sz w:val="32"/>
          <w:szCs w:val="32"/>
        </w:rPr>
        <w:t>住所地在北京市的法人和非法人组织</w:t>
      </w:r>
      <w:r>
        <w:rPr>
          <w:rFonts w:ascii="仿宋_GB2312" w:eastAsia="仿宋_GB2312" w:hAnsi="仿宋_GB2312" w:cs="仿宋_GB2312" w:hint="eastAsia"/>
          <w:sz w:val="32"/>
          <w:szCs w:val="32"/>
        </w:rPr>
        <w:t>开展</w:t>
      </w:r>
      <w:r>
        <w:rPr>
          <w:rFonts w:ascii="仿宋_GB2312" w:eastAsia="仿宋_GB2312" w:hAnsi="仿宋_GB2312" w:cs="仿宋_GB2312" w:hint="eastAsia"/>
          <w:sz w:val="32"/>
          <w:szCs w:val="32"/>
        </w:rPr>
        <w:t>海外知识产权维权</w:t>
      </w:r>
      <w:r>
        <w:rPr>
          <w:rFonts w:ascii="仿宋_GB2312" w:eastAsia="仿宋_GB2312" w:hAnsi="仿宋_GB2312" w:cs="仿宋_GB2312" w:hint="eastAsia"/>
          <w:sz w:val="32"/>
          <w:szCs w:val="32"/>
        </w:rPr>
        <w:t>活动</w:t>
      </w:r>
      <w:r>
        <w:rPr>
          <w:rFonts w:ascii="仿宋_GB2312" w:eastAsia="仿宋_GB2312" w:hAnsi="仿宋_GB2312" w:cs="仿宋_GB2312" w:hint="eastAsia"/>
          <w:sz w:val="32"/>
          <w:szCs w:val="32"/>
        </w:rPr>
        <w:t>。</w:t>
      </w:r>
    </w:p>
    <w:p w:rsidR="00AA4D7C" w:rsidRDefault="0036594C">
      <w:pPr>
        <w:numPr>
          <w:ilvl w:val="0"/>
          <w:numId w:val="4"/>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【专家保障】建立海外维权专家顾问制度，发挥国家海外知识产权纠纷应对指导专家，本市涉外律师人才、知识产权保护志愿服务专家的作用，为企业应对海外</w:t>
      </w:r>
      <w:r>
        <w:rPr>
          <w:rFonts w:ascii="仿宋_GB2312" w:eastAsia="仿宋_GB2312" w:hAnsi="仿宋_GB2312" w:cs="仿宋_GB2312"/>
          <w:sz w:val="32"/>
          <w:szCs w:val="32"/>
        </w:rPr>
        <w:t>知识产权纠纷</w:t>
      </w:r>
      <w:r>
        <w:rPr>
          <w:rFonts w:ascii="仿宋_GB2312" w:eastAsia="仿宋_GB2312" w:hAnsi="仿宋_GB2312" w:cs="仿宋_GB2312" w:hint="eastAsia"/>
          <w:sz w:val="32"/>
          <w:szCs w:val="32"/>
        </w:rPr>
        <w:t>提供</w:t>
      </w:r>
      <w:r>
        <w:rPr>
          <w:rFonts w:ascii="仿宋_GB2312" w:eastAsia="仿宋_GB2312" w:hAnsi="仿宋_GB2312" w:cs="仿宋_GB2312"/>
          <w:sz w:val="32"/>
          <w:szCs w:val="32"/>
        </w:rPr>
        <w:t>高质量</w:t>
      </w:r>
      <w:r>
        <w:rPr>
          <w:rFonts w:ascii="仿宋_GB2312" w:eastAsia="仿宋_GB2312" w:hAnsi="仿宋_GB2312" w:cs="仿宋_GB2312" w:hint="eastAsia"/>
          <w:sz w:val="32"/>
          <w:szCs w:val="32"/>
        </w:rPr>
        <w:t>维权援助服务。</w:t>
      </w:r>
      <w:r>
        <w:rPr>
          <w:rFonts w:ascii="仿宋_GB2312" w:eastAsia="仿宋_GB2312" w:hAnsi="仿宋_GB2312" w:cs="仿宋_GB2312"/>
          <w:sz w:val="32"/>
          <w:szCs w:val="32"/>
        </w:rPr>
        <w:t xml:space="preserve"> </w:t>
      </w:r>
    </w:p>
    <w:p w:rsidR="00AA4D7C" w:rsidRDefault="0036594C">
      <w:pPr>
        <w:numPr>
          <w:ilvl w:val="0"/>
          <w:numId w:val="4"/>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【技术保障】优化北京市海外知识产权公共服务信息库，运用数字化手段实现海外知识产权纠纷应对资源统筹管理，精准提供线上线下融合服务。</w:t>
      </w:r>
    </w:p>
    <w:p w:rsidR="00AA4D7C" w:rsidRDefault="0036594C">
      <w:pPr>
        <w:numPr>
          <w:ilvl w:val="0"/>
          <w:numId w:val="3"/>
        </w:numPr>
        <w:spacing w:line="560" w:lineRule="exact"/>
        <w:jc w:val="center"/>
        <w:outlineLvl w:val="0"/>
        <w:rPr>
          <w:rFonts w:ascii="黑体" w:eastAsia="黑体" w:hAnsi="黑体" w:cs="黑体"/>
          <w:sz w:val="32"/>
          <w:szCs w:val="32"/>
        </w:rPr>
      </w:pPr>
      <w:bookmarkStart w:id="5" w:name="_Toc18467"/>
      <w:r>
        <w:rPr>
          <w:rFonts w:ascii="黑体" w:eastAsia="黑体" w:hAnsi="黑体" w:cs="黑体" w:hint="eastAsia"/>
          <w:sz w:val="32"/>
          <w:szCs w:val="32"/>
        </w:rPr>
        <w:t>附则</w:t>
      </w:r>
      <w:bookmarkEnd w:id="5"/>
    </w:p>
    <w:p w:rsidR="00AA4D7C" w:rsidRDefault="0036594C">
      <w:pPr>
        <w:numPr>
          <w:ilvl w:val="0"/>
          <w:numId w:val="4"/>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【衔接条款】海外知识产权</w:t>
      </w:r>
      <w:r>
        <w:rPr>
          <w:rFonts w:ascii="仿宋_GB2312" w:eastAsia="仿宋_GB2312" w:hAnsi="仿宋_GB2312" w:cs="仿宋_GB2312" w:hint="eastAsia"/>
          <w:sz w:val="32"/>
          <w:szCs w:val="32"/>
        </w:rPr>
        <w:t>风险预警</w:t>
      </w:r>
      <w:r>
        <w:rPr>
          <w:rFonts w:ascii="仿宋_GB2312" w:eastAsia="仿宋_GB2312" w:hAnsi="仿宋_GB2312" w:cs="仿宋_GB2312" w:hint="eastAsia"/>
          <w:sz w:val="32"/>
          <w:szCs w:val="32"/>
        </w:rPr>
        <w:t>服务的管理办法另行制定。</w:t>
      </w:r>
    </w:p>
    <w:p w:rsidR="00AA4D7C" w:rsidRDefault="0036594C">
      <w:pPr>
        <w:numPr>
          <w:ilvl w:val="0"/>
          <w:numId w:val="4"/>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【施行日期】本办法由北京市知识产权局负责解释，自发布之日起实施。</w:t>
      </w:r>
    </w:p>
    <w:p w:rsidR="00AA4D7C" w:rsidRDefault="00AA4D7C" w:rsidP="00AA4D7C">
      <w:pPr>
        <w:widowControl/>
        <w:spacing w:line="560" w:lineRule="exact"/>
        <w:ind w:firstLineChars="200" w:firstLine="640"/>
        <w:jc w:val="left"/>
        <w:rPr>
          <w:rFonts w:ascii="仿宋_GB2312" w:eastAsia="仿宋_GB2312" w:hAnsi="黑体"/>
          <w:sz w:val="32"/>
          <w:szCs w:val="32"/>
        </w:rPr>
      </w:pPr>
    </w:p>
    <w:sectPr w:rsidR="00AA4D7C" w:rsidSect="00AA4D7C">
      <w:footerReference w:type="even" r:id="rId9"/>
      <w:footerReference w:type="default" r:id="rId10"/>
      <w:pgSz w:w="11906" w:h="16838"/>
      <w:pgMar w:top="2098" w:right="1588" w:bottom="1985" w:left="1588" w:header="851" w:footer="158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94C" w:rsidRDefault="0036594C" w:rsidP="00AA4D7C">
      <w:pPr>
        <w:ind w:firstLine="640"/>
      </w:pPr>
      <w:r>
        <w:separator/>
      </w:r>
    </w:p>
  </w:endnote>
  <w:endnote w:type="continuationSeparator" w:id="1">
    <w:p w:rsidR="0036594C" w:rsidRDefault="0036594C" w:rsidP="00AA4D7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7C" w:rsidRDefault="0036594C">
    <w:pPr>
      <w:pStyle w:val="a7"/>
      <w:rPr>
        <w:sz w:val="28"/>
        <w:szCs w:val="28"/>
      </w:rPr>
    </w:pPr>
    <w:r>
      <w:rPr>
        <w:rFonts w:hint="eastAsia"/>
        <w:sz w:val="28"/>
        <w:szCs w:val="28"/>
      </w:rPr>
      <w:t>—</w:t>
    </w:r>
    <w:r>
      <w:rPr>
        <w:rFonts w:hint="eastAsia"/>
        <w:sz w:val="28"/>
        <w:szCs w:val="28"/>
      </w:rPr>
      <w:t xml:space="preserve"> </w:t>
    </w:r>
    <w:r w:rsidR="00AA4D7C">
      <w:rPr>
        <w:rFonts w:ascii="宋体" w:hAnsi="宋体"/>
        <w:sz w:val="28"/>
        <w:szCs w:val="28"/>
      </w:rPr>
      <w:fldChar w:fldCharType="begin"/>
    </w:r>
    <w:r>
      <w:rPr>
        <w:rFonts w:ascii="宋体" w:hAnsi="宋体"/>
        <w:sz w:val="28"/>
        <w:szCs w:val="28"/>
      </w:rPr>
      <w:instrText xml:space="preserve"> PAGE   \* MERGEFORMAT </w:instrText>
    </w:r>
    <w:r w:rsidR="00AA4D7C">
      <w:rPr>
        <w:rFonts w:ascii="宋体" w:hAnsi="宋体"/>
        <w:sz w:val="28"/>
        <w:szCs w:val="28"/>
      </w:rPr>
      <w:fldChar w:fldCharType="separate"/>
    </w:r>
    <w:r w:rsidR="007C1AD6" w:rsidRPr="007C1AD6">
      <w:rPr>
        <w:rFonts w:ascii="宋体" w:hAnsi="宋体"/>
        <w:noProof/>
        <w:sz w:val="28"/>
        <w:szCs w:val="28"/>
        <w:lang w:val="zh-CN"/>
      </w:rPr>
      <w:t>4</w:t>
    </w:r>
    <w:r w:rsidR="00AA4D7C">
      <w:rPr>
        <w:rFonts w:ascii="宋体" w:hAnsi="宋体"/>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7C" w:rsidRDefault="0036594C">
    <w:pPr>
      <w:pStyle w:val="a7"/>
      <w:tabs>
        <w:tab w:val="clear" w:pos="8306"/>
      </w:tabs>
      <w:jc w:val="right"/>
      <w:rPr>
        <w:rFonts w:ascii="宋体" w:hAnsi="宋体"/>
        <w:sz w:val="28"/>
        <w:szCs w:val="28"/>
      </w:rPr>
    </w:pPr>
    <w:r>
      <w:rPr>
        <w:rFonts w:ascii="宋体" w:hAnsi="宋体" w:hint="eastAsia"/>
        <w:kern w:val="0"/>
        <w:sz w:val="28"/>
        <w:szCs w:val="28"/>
      </w:rPr>
      <w:t>—</w:t>
    </w:r>
    <w:r>
      <w:rPr>
        <w:rFonts w:ascii="宋体" w:hAnsi="宋体" w:hint="eastAsia"/>
        <w:spacing w:val="-50"/>
        <w:kern w:val="0"/>
        <w:sz w:val="28"/>
        <w:szCs w:val="28"/>
      </w:rPr>
      <w:t xml:space="preserve"> </w:t>
    </w:r>
    <w:r w:rsidR="00AA4D7C">
      <w:rPr>
        <w:rFonts w:ascii="宋体" w:hAnsi="宋体" w:hint="eastAsia"/>
        <w:kern w:val="0"/>
        <w:sz w:val="28"/>
        <w:szCs w:val="28"/>
      </w:rPr>
      <w:fldChar w:fldCharType="begin"/>
    </w:r>
    <w:r>
      <w:rPr>
        <w:rFonts w:ascii="宋体" w:hAnsi="宋体" w:hint="eastAsia"/>
        <w:kern w:val="0"/>
        <w:sz w:val="28"/>
        <w:szCs w:val="28"/>
      </w:rPr>
      <w:instrText xml:space="preserve"> PAGE </w:instrText>
    </w:r>
    <w:r w:rsidR="00AA4D7C">
      <w:rPr>
        <w:rFonts w:ascii="宋体" w:hAnsi="宋体" w:hint="eastAsia"/>
        <w:kern w:val="0"/>
        <w:sz w:val="28"/>
        <w:szCs w:val="28"/>
      </w:rPr>
      <w:fldChar w:fldCharType="separate"/>
    </w:r>
    <w:r w:rsidR="007C1AD6">
      <w:rPr>
        <w:rFonts w:ascii="宋体" w:hAnsi="宋体"/>
        <w:noProof/>
        <w:kern w:val="0"/>
        <w:sz w:val="28"/>
        <w:szCs w:val="28"/>
      </w:rPr>
      <w:t>5</w:t>
    </w:r>
    <w:r w:rsidR="00AA4D7C">
      <w:rPr>
        <w:rFonts w:ascii="宋体" w:hAnsi="宋体" w:hint="eastAsia"/>
        <w:kern w:val="0"/>
        <w:sz w:val="28"/>
        <w:szCs w:val="28"/>
      </w:rPr>
      <w:fldChar w:fldCharType="end"/>
    </w:r>
    <w:r>
      <w:rPr>
        <w:rFonts w:ascii="宋体" w:hAnsi="宋体" w:hint="eastAsia"/>
        <w:spacing w:val="-40"/>
        <w:kern w:val="0"/>
        <w:sz w:val="28"/>
        <w:szCs w:val="28"/>
      </w:rPr>
      <w:t xml:space="preserve"> </w:t>
    </w:r>
    <w:r>
      <w:rPr>
        <w:rFonts w:ascii="宋体" w:hAnsi="宋体" w:hint="eastAsia"/>
        <w:kern w:val="0"/>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94C" w:rsidRDefault="0036594C" w:rsidP="00AA4D7C">
      <w:pPr>
        <w:ind w:firstLine="640"/>
      </w:pPr>
      <w:r>
        <w:separator/>
      </w:r>
    </w:p>
  </w:footnote>
  <w:footnote w:type="continuationSeparator" w:id="1">
    <w:p w:rsidR="0036594C" w:rsidRDefault="0036594C" w:rsidP="00AA4D7C">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C2DEFCD8"/>
    <w:lvl w:ilvl="0">
      <w:start w:val="1"/>
      <w:numFmt w:val="chineseCounting"/>
      <w:suff w:val="space"/>
      <w:lvlText w:val="第%1章"/>
      <w:lvlJc w:val="left"/>
      <w:rPr>
        <w:rFonts w:hint="eastAsia"/>
      </w:rPr>
    </w:lvl>
  </w:abstractNum>
  <w:abstractNum w:abstractNumId="1">
    <w:nsid w:val="00000001"/>
    <w:multiLevelType w:val="singleLevel"/>
    <w:tmpl w:val="14868852"/>
    <w:lvl w:ilvl="0">
      <w:start w:val="1"/>
      <w:numFmt w:val="chineseCounting"/>
      <w:suff w:val="space"/>
      <w:lvlText w:val="第%1条"/>
      <w:lvlJc w:val="left"/>
      <w:rPr>
        <w:rFonts w:hint="eastAsia"/>
        <w:b/>
        <w:bCs/>
        <w:lang w:val="en-US"/>
      </w:rPr>
    </w:lvl>
  </w:abstractNum>
  <w:abstractNum w:abstractNumId="2">
    <w:nsid w:val="00000002"/>
    <w:multiLevelType w:val="multilevel"/>
    <w:tmpl w:val="1F2925AF"/>
    <w:lvl w:ilvl="0">
      <w:start w:val="1"/>
      <w:numFmt w:val="upperRoman"/>
      <w:pStyle w:val="2"/>
      <w:lvlText w:val="%1)"/>
      <w:lvlJc w:val="left"/>
      <w:pPr>
        <w:tabs>
          <w:tab w:val="left" w:pos="1322"/>
        </w:tabs>
        <w:ind w:left="1322" w:hanging="720"/>
      </w:pPr>
      <w:rPr>
        <w:rFonts w:hint="eastAsia"/>
      </w:rPr>
    </w:lvl>
    <w:lvl w:ilvl="1">
      <w:start w:val="1"/>
      <w:numFmt w:val="lowerLetter"/>
      <w:lvlText w:val="%2)"/>
      <w:lvlJc w:val="left"/>
      <w:pPr>
        <w:tabs>
          <w:tab w:val="left" w:pos="1442"/>
        </w:tabs>
        <w:ind w:left="1442" w:hanging="420"/>
      </w:pPr>
    </w:lvl>
    <w:lvl w:ilvl="2">
      <w:start w:val="1"/>
      <w:numFmt w:val="lowerRoman"/>
      <w:lvlText w:val="%3."/>
      <w:lvlJc w:val="right"/>
      <w:pPr>
        <w:tabs>
          <w:tab w:val="left" w:pos="1862"/>
        </w:tabs>
        <w:ind w:left="1862" w:hanging="420"/>
      </w:pPr>
    </w:lvl>
    <w:lvl w:ilvl="3">
      <w:start w:val="1"/>
      <w:numFmt w:val="decimal"/>
      <w:lvlText w:val="%4."/>
      <w:lvlJc w:val="left"/>
      <w:pPr>
        <w:tabs>
          <w:tab w:val="left" w:pos="2282"/>
        </w:tabs>
        <w:ind w:left="2282" w:hanging="420"/>
      </w:pPr>
    </w:lvl>
    <w:lvl w:ilvl="4">
      <w:start w:val="1"/>
      <w:numFmt w:val="lowerLetter"/>
      <w:lvlText w:val="%5)"/>
      <w:lvlJc w:val="left"/>
      <w:pPr>
        <w:tabs>
          <w:tab w:val="left" w:pos="2702"/>
        </w:tabs>
        <w:ind w:left="2702" w:hanging="420"/>
      </w:pPr>
    </w:lvl>
    <w:lvl w:ilvl="5">
      <w:start w:val="1"/>
      <w:numFmt w:val="lowerRoman"/>
      <w:lvlText w:val="%6."/>
      <w:lvlJc w:val="right"/>
      <w:pPr>
        <w:tabs>
          <w:tab w:val="left" w:pos="3122"/>
        </w:tabs>
        <w:ind w:left="3122" w:hanging="420"/>
      </w:pPr>
    </w:lvl>
    <w:lvl w:ilvl="6">
      <w:start w:val="1"/>
      <w:numFmt w:val="decimal"/>
      <w:lvlText w:val="%7."/>
      <w:lvlJc w:val="left"/>
      <w:pPr>
        <w:tabs>
          <w:tab w:val="left" w:pos="3542"/>
        </w:tabs>
        <w:ind w:left="3542" w:hanging="420"/>
      </w:pPr>
    </w:lvl>
    <w:lvl w:ilvl="7">
      <w:start w:val="1"/>
      <w:numFmt w:val="lowerLetter"/>
      <w:lvlText w:val="%8)"/>
      <w:lvlJc w:val="left"/>
      <w:pPr>
        <w:tabs>
          <w:tab w:val="left" w:pos="3962"/>
        </w:tabs>
        <w:ind w:left="3962" w:hanging="420"/>
      </w:pPr>
    </w:lvl>
    <w:lvl w:ilvl="8">
      <w:start w:val="1"/>
      <w:numFmt w:val="lowerRoman"/>
      <w:lvlText w:val="%9."/>
      <w:lvlJc w:val="right"/>
      <w:pPr>
        <w:tabs>
          <w:tab w:val="left" w:pos="4382"/>
        </w:tabs>
        <w:ind w:left="4382" w:hanging="420"/>
      </w:pPr>
    </w:lvl>
  </w:abstractNum>
  <w:abstractNum w:abstractNumId="3">
    <w:nsid w:val="00000003"/>
    <w:multiLevelType w:val="singleLevel"/>
    <w:tmpl w:val="39DA099C"/>
    <w:lvl w:ilvl="0">
      <w:start w:val="1"/>
      <w:numFmt w:val="chineseCounting"/>
      <w:suff w:val="space"/>
      <w:lvlText w:val="第%1章"/>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oNotShadeFormData/>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4D7C"/>
    <w:rsid w:val="002C61D6"/>
    <w:rsid w:val="0036594C"/>
    <w:rsid w:val="007C1AD6"/>
    <w:rsid w:val="00AA4D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D7C"/>
    <w:pPr>
      <w:widowControl w:val="0"/>
      <w:jc w:val="both"/>
    </w:pPr>
    <w:rPr>
      <w:kern w:val="2"/>
      <w:sz w:val="21"/>
      <w:szCs w:val="24"/>
    </w:rPr>
  </w:style>
  <w:style w:type="paragraph" w:styleId="1">
    <w:name w:val="heading 1"/>
    <w:basedOn w:val="a"/>
    <w:next w:val="a"/>
    <w:link w:val="1Char"/>
    <w:qFormat/>
    <w:rsid w:val="00AA4D7C"/>
    <w:pPr>
      <w:keepNext/>
      <w:keepLines/>
      <w:spacing w:before="340" w:after="330" w:line="578" w:lineRule="auto"/>
      <w:outlineLvl w:val="0"/>
    </w:pPr>
    <w:rPr>
      <w:b/>
      <w:bCs/>
      <w:kern w:val="44"/>
      <w:sz w:val="44"/>
      <w:szCs w:val="44"/>
    </w:rPr>
  </w:style>
  <w:style w:type="paragraph" w:styleId="2">
    <w:name w:val="heading 2"/>
    <w:basedOn w:val="a"/>
    <w:next w:val="a"/>
    <w:qFormat/>
    <w:rsid w:val="00AA4D7C"/>
    <w:pPr>
      <w:keepNext/>
      <w:keepLines/>
      <w:numPr>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A4D7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AA4D7C"/>
    <w:rPr>
      <w:rFonts w:ascii="宋体"/>
      <w:sz w:val="18"/>
      <w:szCs w:val="18"/>
    </w:rPr>
  </w:style>
  <w:style w:type="paragraph" w:styleId="a4">
    <w:name w:val="annotation text"/>
    <w:basedOn w:val="a"/>
    <w:link w:val="Char0"/>
    <w:qFormat/>
    <w:rsid w:val="00AA4D7C"/>
    <w:pPr>
      <w:jc w:val="left"/>
    </w:pPr>
  </w:style>
  <w:style w:type="paragraph" w:styleId="30">
    <w:name w:val="toc 3"/>
    <w:basedOn w:val="a"/>
    <w:next w:val="a"/>
    <w:uiPriority w:val="39"/>
    <w:qFormat/>
    <w:rsid w:val="00AA4D7C"/>
    <w:pPr>
      <w:ind w:leftChars="400" w:left="840"/>
    </w:pPr>
  </w:style>
  <w:style w:type="paragraph" w:styleId="a5">
    <w:name w:val="Date"/>
    <w:basedOn w:val="a"/>
    <w:next w:val="a"/>
    <w:qFormat/>
    <w:rsid w:val="00AA4D7C"/>
    <w:pPr>
      <w:ind w:leftChars="2500" w:left="100"/>
    </w:pPr>
  </w:style>
  <w:style w:type="paragraph" w:styleId="a6">
    <w:name w:val="Balloon Text"/>
    <w:basedOn w:val="a"/>
    <w:qFormat/>
    <w:rsid w:val="00AA4D7C"/>
    <w:rPr>
      <w:sz w:val="18"/>
      <w:szCs w:val="18"/>
    </w:rPr>
  </w:style>
  <w:style w:type="paragraph" w:styleId="a7">
    <w:name w:val="footer"/>
    <w:basedOn w:val="a"/>
    <w:link w:val="Char1"/>
    <w:uiPriority w:val="99"/>
    <w:qFormat/>
    <w:rsid w:val="00AA4D7C"/>
    <w:pPr>
      <w:tabs>
        <w:tab w:val="center" w:pos="4153"/>
        <w:tab w:val="right" w:pos="8306"/>
      </w:tabs>
      <w:snapToGrid w:val="0"/>
      <w:jc w:val="left"/>
    </w:pPr>
    <w:rPr>
      <w:sz w:val="18"/>
      <w:szCs w:val="18"/>
    </w:rPr>
  </w:style>
  <w:style w:type="paragraph" w:styleId="a8">
    <w:name w:val="header"/>
    <w:basedOn w:val="a"/>
    <w:qFormat/>
    <w:rsid w:val="00AA4D7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A4D7C"/>
  </w:style>
  <w:style w:type="paragraph" w:styleId="a9">
    <w:name w:val="footnote text"/>
    <w:basedOn w:val="a"/>
    <w:link w:val="Char2"/>
    <w:qFormat/>
    <w:rsid w:val="00AA4D7C"/>
    <w:pPr>
      <w:snapToGrid w:val="0"/>
      <w:jc w:val="left"/>
    </w:pPr>
    <w:rPr>
      <w:sz w:val="18"/>
      <w:szCs w:val="18"/>
    </w:rPr>
  </w:style>
  <w:style w:type="paragraph" w:styleId="20">
    <w:name w:val="toc 2"/>
    <w:basedOn w:val="a"/>
    <w:next w:val="a"/>
    <w:uiPriority w:val="39"/>
    <w:qFormat/>
    <w:rsid w:val="00AA4D7C"/>
    <w:pPr>
      <w:ind w:leftChars="200" w:left="420"/>
    </w:pPr>
  </w:style>
  <w:style w:type="paragraph" w:styleId="aa">
    <w:name w:val="Normal (Web)"/>
    <w:basedOn w:val="a"/>
    <w:uiPriority w:val="99"/>
    <w:qFormat/>
    <w:rsid w:val="00AA4D7C"/>
    <w:pPr>
      <w:widowControl/>
      <w:spacing w:before="100" w:beforeAutospacing="1" w:after="100" w:afterAutospacing="1"/>
      <w:jc w:val="left"/>
    </w:pPr>
    <w:rPr>
      <w:rFonts w:ascii="宋体" w:hAnsi="宋体"/>
      <w:kern w:val="0"/>
      <w:sz w:val="24"/>
    </w:rPr>
  </w:style>
  <w:style w:type="paragraph" w:styleId="ab">
    <w:name w:val="annotation subject"/>
    <w:basedOn w:val="a4"/>
    <w:next w:val="a4"/>
    <w:link w:val="Char3"/>
    <w:qFormat/>
    <w:rsid w:val="00AA4D7C"/>
    <w:rPr>
      <w:b/>
      <w:bCs/>
    </w:rPr>
  </w:style>
  <w:style w:type="table" w:styleId="ac">
    <w:name w:val="Table Grid"/>
    <w:basedOn w:val="a1"/>
    <w:qFormat/>
    <w:rsid w:val="00AA4D7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0"/>
    <w:qFormat/>
    <w:rsid w:val="00AA4D7C"/>
  </w:style>
  <w:style w:type="character" w:styleId="ae">
    <w:name w:val="Hyperlink"/>
    <w:basedOn w:val="a0"/>
    <w:uiPriority w:val="99"/>
    <w:qFormat/>
    <w:rsid w:val="00AA4D7C"/>
    <w:rPr>
      <w:color w:val="0000FF"/>
      <w:u w:val="single"/>
    </w:rPr>
  </w:style>
  <w:style w:type="character" w:styleId="af">
    <w:name w:val="annotation reference"/>
    <w:basedOn w:val="a0"/>
    <w:qFormat/>
    <w:rsid w:val="00AA4D7C"/>
    <w:rPr>
      <w:sz w:val="21"/>
      <w:szCs w:val="21"/>
    </w:rPr>
  </w:style>
  <w:style w:type="character" w:styleId="af0">
    <w:name w:val="footnote reference"/>
    <w:basedOn w:val="a0"/>
    <w:qFormat/>
    <w:rsid w:val="00AA4D7C"/>
    <w:rPr>
      <w:vertAlign w:val="superscript"/>
    </w:rPr>
  </w:style>
  <w:style w:type="paragraph" w:customStyle="1" w:styleId="CharCharCharCharCharCharCharChar2CharCharCharCharCharCharChar">
    <w:name w:val="Char Char Char Char Char Char Char Char2 Char Char Char Char Char Char Char"/>
    <w:basedOn w:val="a"/>
    <w:qFormat/>
    <w:rsid w:val="00AA4D7C"/>
    <w:rPr>
      <w:rFonts w:ascii="宋体" w:hAnsi="宋体" w:cs="Courier New"/>
      <w:sz w:val="32"/>
      <w:szCs w:val="32"/>
    </w:rPr>
  </w:style>
  <w:style w:type="paragraph" w:customStyle="1" w:styleId="CharCharChar">
    <w:name w:val="Char Char Char"/>
    <w:basedOn w:val="a"/>
    <w:qFormat/>
    <w:rsid w:val="00AA4D7C"/>
    <w:rPr>
      <w:rFonts w:ascii="宋体" w:hAnsi="宋体" w:cs="Courier New"/>
      <w:sz w:val="32"/>
      <w:szCs w:val="32"/>
    </w:rPr>
  </w:style>
  <w:style w:type="character" w:customStyle="1" w:styleId="txt1">
    <w:name w:val="txt1"/>
    <w:basedOn w:val="a0"/>
    <w:qFormat/>
    <w:rsid w:val="00AA4D7C"/>
    <w:rPr>
      <w:color w:val="333333"/>
      <w:sz w:val="20"/>
      <w:szCs w:val="20"/>
      <w:u w:val="none"/>
    </w:rPr>
  </w:style>
  <w:style w:type="paragraph" w:customStyle="1" w:styleId="Default">
    <w:name w:val="Default"/>
    <w:qFormat/>
    <w:rsid w:val="00AA4D7C"/>
    <w:pPr>
      <w:widowControl w:val="0"/>
      <w:autoSpaceDE w:val="0"/>
      <w:autoSpaceDN w:val="0"/>
      <w:adjustRightInd w:val="0"/>
    </w:pPr>
    <w:rPr>
      <w:rFonts w:ascii="仿宋_GB2312" w:eastAsia="仿宋_GB2312" w:cs="仿宋_GB2312"/>
      <w:color w:val="000000"/>
      <w:sz w:val="24"/>
      <w:szCs w:val="24"/>
    </w:rPr>
  </w:style>
  <w:style w:type="paragraph" w:customStyle="1" w:styleId="af1">
    <w:name w:val="大标题"/>
    <w:basedOn w:val="a"/>
    <w:qFormat/>
    <w:rsid w:val="00AA4D7C"/>
    <w:pPr>
      <w:spacing w:beforeLines="200"/>
      <w:jc w:val="center"/>
    </w:pPr>
    <w:rPr>
      <w:rFonts w:eastAsia="黑体"/>
      <w:b/>
      <w:sz w:val="44"/>
    </w:rPr>
  </w:style>
  <w:style w:type="paragraph" w:customStyle="1" w:styleId="p0">
    <w:name w:val="p0"/>
    <w:basedOn w:val="a"/>
    <w:qFormat/>
    <w:rsid w:val="00AA4D7C"/>
    <w:pPr>
      <w:widowControl/>
    </w:pPr>
    <w:rPr>
      <w:rFonts w:ascii="Calibri" w:hAnsi="Calibri" w:cs="Calibri"/>
      <w:kern w:val="0"/>
      <w:szCs w:val="21"/>
    </w:rPr>
  </w:style>
  <w:style w:type="paragraph" w:styleId="af2">
    <w:name w:val="List Paragraph"/>
    <w:basedOn w:val="a"/>
    <w:uiPriority w:val="34"/>
    <w:qFormat/>
    <w:rsid w:val="00AA4D7C"/>
    <w:pPr>
      <w:ind w:firstLineChars="200" w:firstLine="420"/>
    </w:pPr>
    <w:rPr>
      <w:rFonts w:ascii="Calibri" w:hAnsi="Calibri"/>
      <w:szCs w:val="22"/>
    </w:rPr>
  </w:style>
  <w:style w:type="paragraph" w:customStyle="1" w:styleId="11">
    <w:name w:val="列出段落1"/>
    <w:basedOn w:val="a"/>
    <w:uiPriority w:val="99"/>
    <w:qFormat/>
    <w:rsid w:val="00AA4D7C"/>
    <w:pPr>
      <w:ind w:firstLineChars="200" w:firstLine="420"/>
    </w:pPr>
    <w:rPr>
      <w:rFonts w:ascii="Calibri" w:hAnsi="Calibri"/>
      <w:szCs w:val="22"/>
    </w:rPr>
  </w:style>
  <w:style w:type="character" w:customStyle="1" w:styleId="3Char">
    <w:name w:val="标题 3 Char"/>
    <w:basedOn w:val="a0"/>
    <w:link w:val="3"/>
    <w:qFormat/>
    <w:rsid w:val="00AA4D7C"/>
    <w:rPr>
      <w:b/>
      <w:bCs/>
      <w:kern w:val="2"/>
      <w:sz w:val="32"/>
      <w:szCs w:val="32"/>
    </w:rPr>
  </w:style>
  <w:style w:type="character" w:customStyle="1" w:styleId="Char2">
    <w:name w:val="脚注文本 Char"/>
    <w:basedOn w:val="a0"/>
    <w:link w:val="a9"/>
    <w:qFormat/>
    <w:rsid w:val="00AA4D7C"/>
    <w:rPr>
      <w:kern w:val="2"/>
      <w:sz w:val="18"/>
      <w:szCs w:val="18"/>
    </w:rPr>
  </w:style>
  <w:style w:type="character" w:customStyle="1" w:styleId="1Char">
    <w:name w:val="标题 1 Char"/>
    <w:basedOn w:val="a0"/>
    <w:link w:val="1"/>
    <w:qFormat/>
    <w:rsid w:val="00AA4D7C"/>
    <w:rPr>
      <w:b/>
      <w:bCs/>
      <w:kern w:val="44"/>
      <w:sz w:val="44"/>
      <w:szCs w:val="44"/>
    </w:rPr>
  </w:style>
  <w:style w:type="character" w:customStyle="1" w:styleId="Char1">
    <w:name w:val="页脚 Char"/>
    <w:basedOn w:val="a0"/>
    <w:link w:val="a7"/>
    <w:uiPriority w:val="99"/>
    <w:qFormat/>
    <w:rsid w:val="00AA4D7C"/>
    <w:rPr>
      <w:kern w:val="2"/>
      <w:sz w:val="18"/>
      <w:szCs w:val="18"/>
    </w:rPr>
  </w:style>
  <w:style w:type="character" w:customStyle="1" w:styleId="Char0">
    <w:name w:val="批注文字 Char"/>
    <w:basedOn w:val="a0"/>
    <w:link w:val="a4"/>
    <w:qFormat/>
    <w:rsid w:val="00AA4D7C"/>
    <w:rPr>
      <w:kern w:val="2"/>
      <w:sz w:val="21"/>
      <w:szCs w:val="24"/>
    </w:rPr>
  </w:style>
  <w:style w:type="character" w:customStyle="1" w:styleId="Char3">
    <w:name w:val="批注主题 Char"/>
    <w:basedOn w:val="Char0"/>
    <w:link w:val="ab"/>
    <w:qFormat/>
    <w:rsid w:val="00AA4D7C"/>
    <w:rPr>
      <w:b/>
      <w:bCs/>
    </w:rPr>
  </w:style>
  <w:style w:type="paragraph" w:customStyle="1" w:styleId="12">
    <w:name w:val="修订1"/>
    <w:uiPriority w:val="99"/>
    <w:qFormat/>
    <w:rsid w:val="00AA4D7C"/>
    <w:rPr>
      <w:kern w:val="2"/>
      <w:sz w:val="21"/>
      <w:szCs w:val="24"/>
    </w:rPr>
  </w:style>
  <w:style w:type="character" w:customStyle="1" w:styleId="Char">
    <w:name w:val="文档结构图 Char"/>
    <w:basedOn w:val="a0"/>
    <w:link w:val="a3"/>
    <w:qFormat/>
    <w:rsid w:val="00AA4D7C"/>
    <w:rPr>
      <w:rFonts w:ascii="宋体"/>
      <w:kern w:val="2"/>
      <w:sz w:val="18"/>
      <w:szCs w:val="18"/>
    </w:rPr>
  </w:style>
  <w:style w:type="character" w:styleId="af3">
    <w:name w:val="Emphasis"/>
    <w:basedOn w:val="a0"/>
    <w:uiPriority w:val="20"/>
    <w:qFormat/>
    <w:rsid w:val="00AA4D7C"/>
    <w:rPr>
      <w:i/>
      <w:iCs/>
    </w:rPr>
  </w:style>
  <w:style w:type="paragraph" w:styleId="af4">
    <w:name w:val="Body Text"/>
    <w:basedOn w:val="a"/>
    <w:qFormat/>
    <w:rsid w:val="00AA4D7C"/>
    <w:pPr>
      <w:spacing w:line="560" w:lineRule="exact"/>
      <w:ind w:firstLineChars="200" w:firstLine="880"/>
    </w:pPr>
    <w:rPr>
      <w:rFonts w:ascii="Calibri" w:eastAsia="仿宋_GB2312" w:hAnsi="Calibri" w:cs="宋体"/>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45D677C-6E7B-41C1-A226-48D0C4E201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322</Words>
  <Characters>1842</Characters>
  <Application>Microsoft Office Word</Application>
  <DocSecurity>0</DocSecurity>
  <Lines>15</Lines>
  <Paragraphs>4</Paragraphs>
  <ScaleCrop>false</ScaleCrop>
  <Company>MC SYSTEM</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关于北京市保护知识产权举报投诉</dc:title>
  <dc:creator>MC SYSTEM</dc:creator>
  <cp:lastModifiedBy>wh</cp:lastModifiedBy>
  <cp:revision>3</cp:revision>
  <cp:lastPrinted>2024-08-07T09:11:00Z</cp:lastPrinted>
  <dcterms:created xsi:type="dcterms:W3CDTF">2024-08-07T09:03:00Z</dcterms:created>
  <dcterms:modified xsi:type="dcterms:W3CDTF">2024-08-07T09:11:00Z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18b69ea5e0a84ecb8a515b51e2d63ae8_23</vt:lpwstr>
  </property>
</Properties>
</file>