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outlineLvl w:val="0"/>
        <w:rPr>
          <w:rFonts w:hint="eastAsia" w:ascii="CESI黑体-GB2312" w:hAnsi="CESI黑体-GB2312" w:eastAsia="CESI黑体-GB2312" w:cs="CESI黑体-GB2312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sz w:val="30"/>
          <w:szCs w:val="30"/>
          <w:lang w:eastAsia="zh-CN"/>
        </w:rPr>
        <w:t>附件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outlineLvl w:val="0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北京市国际科技创新中心知识产权能力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outlineLvl w:val="0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提升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计划</w:t>
      </w:r>
      <w:r>
        <w:rPr>
          <w:rFonts w:hint="eastAsia" w:ascii="Times New Roman" w:hAnsi="Times New Roman" w:eastAsia="方正小标宋简体"/>
          <w:sz w:val="44"/>
          <w:szCs w:val="44"/>
        </w:rPr>
        <w:t>管理办法</w:t>
      </w:r>
    </w:p>
    <w:p>
      <w:pPr>
        <w:pageBreakBefore w:val="0"/>
        <w:widowControl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ascii="Times New Roman" w:hAnsi="Times New Roman"/>
          <w:b/>
          <w:bCs/>
          <w:szCs w:val="32"/>
        </w:rPr>
      </w:pPr>
      <w:r>
        <w:rPr>
          <w:rFonts w:hint="eastAsia" w:ascii="Times New Roman" w:hAnsi="Times New Roman"/>
          <w:b/>
          <w:bCs/>
          <w:szCs w:val="32"/>
        </w:rPr>
        <w:t>（</w:t>
      </w:r>
      <w:r>
        <w:rPr>
          <w:rFonts w:hint="eastAsia" w:ascii="Times New Roman" w:hAnsi="Times New Roman"/>
          <w:b/>
          <w:bCs/>
          <w:szCs w:val="32"/>
          <w:lang w:eastAsia="zh-CN"/>
        </w:rPr>
        <w:t>征求意见</w:t>
      </w:r>
      <w:r>
        <w:rPr>
          <w:rFonts w:hint="eastAsia" w:ascii="Times New Roman" w:hAnsi="Times New Roman"/>
          <w:b/>
          <w:bCs/>
          <w:szCs w:val="32"/>
        </w:rPr>
        <w:t>稿）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/>
        </w:rPr>
      </w:pP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b/>
          <w:bCs/>
        </w:rPr>
      </w:pPr>
      <w:r>
        <w:rPr>
          <w:rFonts w:hint="eastAsia"/>
          <w:b/>
          <w:bCs/>
        </w:rPr>
        <w:t>第一章  总则</w:t>
      </w:r>
    </w:p>
    <w:p>
      <w:pPr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cs="仿宋_GB2312"/>
          <w:kern w:val="0"/>
          <w:szCs w:val="32"/>
        </w:rPr>
      </w:pPr>
      <w:r>
        <w:rPr>
          <w:rFonts w:hint="eastAsia"/>
        </w:rPr>
        <w:t>第一条 为落实</w:t>
      </w:r>
      <w:r>
        <w:rPr>
          <w:rFonts w:hint="eastAsia" w:ascii="仿宋_GB2312"/>
          <w:szCs w:val="32"/>
        </w:rPr>
        <w:t>《知识产权强国建设纲要（2021-2035年）》《专利转化运用专项行动方案（2023－2035年）》《“十四五”知识产权保护和运用规划》《北京市知识产权保护条例》《北京市促进中小企业发展条例》</w:t>
      </w:r>
      <w:r>
        <w:rPr>
          <w:rFonts w:hint="eastAsia"/>
        </w:rPr>
        <w:t>等法规政策要求，全面强化北京市创新主体知识产权基础能力建设，提升创新主体知识产权国际竞争力，促进高水平对外开放，支撑国际科技创新中心建设，</w:t>
      </w:r>
      <w:r>
        <w:rPr>
          <w:rFonts w:hint="eastAsia" w:cs="仿宋_GB2312"/>
          <w:kern w:val="0"/>
          <w:szCs w:val="32"/>
        </w:rPr>
        <w:t>结合工作实际，制定本办法。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Times New Roman" w:hAnsi="Times New Roman" w:eastAsia="仿宋_GB2312"/>
          <w:bCs w:val="0"/>
          <w:kern w:val="2"/>
          <w:szCs w:val="32"/>
          <w:highlight w:val="yellow"/>
          <w:lang w:eastAsia="zh-CN"/>
        </w:rPr>
      </w:pPr>
      <w:r>
        <w:rPr>
          <w:rFonts w:hint="eastAsia" w:ascii="仿宋_GB2312"/>
          <w:szCs w:val="32"/>
        </w:rPr>
        <w:t xml:space="preserve">第二条 </w:t>
      </w:r>
      <w:r>
        <w:rPr>
          <w:rFonts w:hint="eastAsia" w:ascii="仿宋_GB2312"/>
          <w:szCs w:val="32"/>
          <w:lang w:eastAsia="zh-CN"/>
        </w:rPr>
        <w:t>知识产权能力提升计划</w:t>
      </w:r>
      <w:r>
        <w:rPr>
          <w:rFonts w:hint="eastAsia" w:ascii="Times New Roman" w:hAnsi="Times New Roman"/>
          <w:szCs w:val="32"/>
        </w:rPr>
        <w:t>用于支持创新主体开展相关工作，夯实知识产权基础，提升知识产权国际竞争能力，促进专利技术产业化应用，开展中</w:t>
      </w:r>
      <w:r>
        <w:rPr>
          <w:rFonts w:hint="eastAsia" w:ascii="Times New Roman" w:hAnsi="Times New Roman"/>
          <w:szCs w:val="32"/>
          <w:lang w:eastAsia="zh-CN"/>
        </w:rPr>
        <w:t>外</w:t>
      </w:r>
      <w:r>
        <w:rPr>
          <w:rFonts w:hint="eastAsia" w:ascii="Times New Roman" w:hAnsi="Times New Roman"/>
          <w:szCs w:val="32"/>
        </w:rPr>
        <w:t>地理标志布局和知识产权服务出口。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640"/>
        <w:jc w:val="center"/>
        <w:textAlignment w:val="auto"/>
        <w:rPr>
          <w:rFonts w:hint="eastAsia" w:ascii="仿宋_GB2312" w:hAnsi="Times New Roman" w:eastAsia="仿宋_GB2312" w:cs="仿宋_GB2312"/>
          <w:bCs w:val="0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 xml:space="preserve">第三条 </w:t>
      </w:r>
      <w:r>
        <w:rPr>
          <w:rFonts w:hint="eastAsia" w:ascii="仿宋_GB2312" w:hAnsi="Times New Roman" w:cs="仿宋_GB2312"/>
        </w:rPr>
        <w:t>本办法所称国际专利布局是指创新主体通过专利合作条约（PCT）、巴黎公约、海牙协定等途径申请国外专利的工作。</w:t>
      </w:r>
      <w:r>
        <w:rPr>
          <w:rFonts w:hint="eastAsia" w:ascii="仿宋_GB2312" w:hAnsi="Times New Roman" w:eastAsia="仿宋_GB2312" w:cs="仿宋_GB2312"/>
          <w:bCs w:val="0"/>
          <w:kern w:val="2"/>
          <w:sz w:val="32"/>
          <w:szCs w:val="24"/>
          <w:lang w:val="en-US" w:eastAsia="zh-CN" w:bidi="ar-SA"/>
        </w:rPr>
        <w:t>向我国香港、澳门和台湾地区提交发明（标准）专利申请获得授权（注册）的，视为获得中国发明专利授权。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640"/>
        <w:jc w:val="center"/>
        <w:textAlignment w:val="auto"/>
        <w:rPr>
          <w:rFonts w:hint="eastAsia" w:ascii="仿宋_GB2312" w:hAnsi="Times New Roman" w:eastAsia="仿宋_GB2312" w:cs="仿宋_GB2312"/>
          <w:bCs w:val="0"/>
          <w:kern w:val="2"/>
          <w:sz w:val="32"/>
          <w:szCs w:val="24"/>
          <w:lang w:val="en-US" w:eastAsia="zh-CN" w:bidi="ar-SA"/>
        </w:rPr>
      </w:pPr>
    </w:p>
    <w:p>
      <w:pPr>
        <w:pStyle w:val="2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640"/>
        <w:jc w:val="center"/>
        <w:textAlignment w:val="auto"/>
        <w:rPr>
          <w:rFonts w:hint="eastAsia" w:ascii="Times New Roman" w:hAnsi="Times New Roman"/>
          <w:b/>
          <w:bCs/>
          <w:kern w:val="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b/>
          <w:bCs/>
          <w:kern w:val="2"/>
          <w:szCs w:val="32"/>
          <w:highlight w:val="none"/>
        </w:rPr>
        <w:t xml:space="preserve"> 支持对象和</w:t>
      </w:r>
      <w:r>
        <w:rPr>
          <w:rFonts w:hint="eastAsia" w:ascii="Times New Roman" w:hAnsi="Times New Roman"/>
          <w:b/>
          <w:bCs/>
          <w:kern w:val="2"/>
          <w:szCs w:val="32"/>
          <w:highlight w:val="none"/>
          <w:lang w:eastAsia="zh-CN"/>
        </w:rPr>
        <w:t>原则</w:t>
      </w:r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bCs w:val="0"/>
          <w:kern w:val="2"/>
          <w:szCs w:val="32"/>
        </w:rPr>
      </w:pPr>
      <w:r>
        <w:rPr>
          <w:rFonts w:hint="eastAsia" w:ascii="Times New Roman" w:hAnsi="Times New Roman" w:eastAsia="仿宋_GB2312"/>
          <w:bCs w:val="0"/>
          <w:kern w:val="2"/>
          <w:szCs w:val="32"/>
        </w:rPr>
        <w:t xml:space="preserve">第四条 </w:t>
      </w:r>
      <w:r>
        <w:rPr>
          <w:rFonts w:hint="eastAsia" w:ascii="仿宋_GB2312" w:eastAsia="仿宋_GB2312" w:hAnsiTheme="minorHAnsi" w:cstheme="minorBidi"/>
          <w:bCs w:val="0"/>
          <w:kern w:val="2"/>
          <w:sz w:val="32"/>
          <w:szCs w:val="32"/>
          <w:lang w:val="en-US" w:eastAsia="zh-CN" w:bidi="ar-SA"/>
        </w:rPr>
        <w:t>知识产权能力提升计划</w:t>
      </w:r>
      <w:r>
        <w:rPr>
          <w:rFonts w:hint="eastAsia" w:ascii="仿宋_GB2312" w:eastAsia="仿宋_GB2312" w:cstheme="minorBidi"/>
          <w:bCs w:val="0"/>
          <w:kern w:val="2"/>
          <w:sz w:val="32"/>
          <w:szCs w:val="32"/>
          <w:lang w:val="en-US" w:eastAsia="zh-CN" w:bidi="ar-SA"/>
        </w:rPr>
        <w:t>面向</w:t>
      </w:r>
      <w:r>
        <w:rPr>
          <w:rFonts w:hint="eastAsia" w:ascii="Times New Roman" w:hAnsi="Times New Roman" w:eastAsia="仿宋_GB2312"/>
          <w:bCs w:val="0"/>
          <w:kern w:val="2"/>
          <w:szCs w:val="32"/>
        </w:rPr>
        <w:t>注册或登记在我市范围内的创新主体。创新主体是指从事科技创新活动的企业、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left="0" w:leftChars="0" w:firstLine="0" w:firstLineChars="0"/>
        <w:jc w:val="both"/>
        <w:textAlignment w:val="auto"/>
        <w:rPr>
          <w:rFonts w:ascii="Times New Roman" w:hAnsi="Times New Roman" w:eastAsia="仿宋_GB2312"/>
          <w:bCs w:val="0"/>
          <w:kern w:val="2"/>
          <w:szCs w:val="32"/>
        </w:rPr>
      </w:pPr>
      <w:r>
        <w:rPr>
          <w:rFonts w:hint="eastAsia" w:ascii="Times New Roman" w:hAnsi="Times New Roman" w:eastAsia="仿宋_GB2312"/>
          <w:bCs w:val="0"/>
          <w:kern w:val="2"/>
          <w:szCs w:val="32"/>
        </w:rPr>
        <w:t>高等学校、科研机构、医疗卫生机构和社会组织等。</w:t>
      </w:r>
    </w:p>
    <w:p>
      <w:pPr>
        <w:pageBreakBefore w:val="0"/>
        <w:numPr>
          <w:ilvl w:val="0"/>
          <w:numId w:val="2"/>
        </w:numPr>
        <w:kinsoku/>
        <w:wordWrap/>
        <w:overflowPunct/>
        <w:topLinePunct w:val="0"/>
        <w:bidi w:val="0"/>
        <w:adjustRightInd w:val="0"/>
        <w:snapToGrid w:val="0"/>
        <w:ind w:firstLine="640"/>
        <w:textAlignment w:val="auto"/>
        <w:rPr>
          <w:rFonts w:hint="eastAsia" w:ascii="FangSong_GB2312" w:hAnsi="仿宋" w:eastAsia="FangSong_GB2312"/>
          <w:sz w:val="32"/>
          <w:szCs w:val="32"/>
        </w:rPr>
      </w:pPr>
      <w:r>
        <w:rPr>
          <w:rFonts w:hint="eastAsia" w:ascii="FangSong_GB2312" w:hAnsi="仿宋" w:eastAsia="FangSong_GB2312"/>
          <w:sz w:val="32"/>
          <w:szCs w:val="32"/>
          <w:lang w:eastAsia="zh-CN"/>
        </w:rPr>
        <w:t>知识产权能力提升计划</w:t>
      </w:r>
      <w:r>
        <w:rPr>
          <w:rFonts w:hint="eastAsia" w:ascii="FangSong_GB2312" w:hAnsi="仿宋" w:eastAsia="FangSong_GB2312"/>
          <w:sz w:val="32"/>
          <w:szCs w:val="32"/>
        </w:rPr>
        <w:t>坚持“市场主导、科学发展、择优支持、注重实效”原则。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eastAsia="仿宋_GB2312"/>
          <w:szCs w:val="32"/>
          <w:highlight w:val="none"/>
          <w:lang w:eastAsia="zh-CN"/>
        </w:rPr>
      </w:pPr>
    </w:p>
    <w:p>
      <w:pPr>
        <w:pStyle w:val="3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ascii="Times New Roman" w:hAnsi="Times New Roman" w:eastAsia="仿宋_GB2312"/>
          <w:b/>
          <w:bCs/>
          <w:kern w:val="2"/>
          <w:szCs w:val="32"/>
        </w:rPr>
      </w:pPr>
      <w:r>
        <w:rPr>
          <w:rFonts w:hint="eastAsia" w:ascii="Times New Roman" w:hAnsi="Times New Roman" w:eastAsia="仿宋_GB2312"/>
          <w:b/>
          <w:bCs/>
          <w:kern w:val="2"/>
          <w:szCs w:val="32"/>
        </w:rPr>
        <w:t>第三章 支持内容和标准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/>
        <w:textAlignment w:val="auto"/>
        <w:rPr>
          <w:rFonts w:ascii="Times New Roman" w:hAnsi="Times New Roman"/>
          <w:szCs w:val="32"/>
        </w:rPr>
      </w:pPr>
      <w:r>
        <w:rPr>
          <w:rFonts w:hint="eastAsia"/>
        </w:rPr>
        <w:t>第六条 支持</w:t>
      </w:r>
      <w:r>
        <w:rPr>
          <w:rFonts w:hint="eastAsia" w:ascii="Times New Roman" w:hAnsi="Times New Roman"/>
          <w:szCs w:val="32"/>
        </w:rPr>
        <w:t>创新主体夯实知识产权基础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640"/>
        <w:textAlignment w:val="auto"/>
        <w:rPr>
          <w:rFonts w:hint="eastAsia" w:ascii="仿宋_GB2312" w:hAnsi="Times New Roman" w:cs="仿宋_GB2312"/>
          <w:lang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支持我市专精特新中小企业</w:t>
      </w:r>
      <w:r>
        <w:rPr>
          <w:rFonts w:hint="eastAsia" w:ascii="仿宋_GB2312"/>
          <w:szCs w:val="32"/>
          <w:lang w:eastAsia="zh-Hans"/>
        </w:rPr>
        <w:t>聚焦</w:t>
      </w:r>
      <w:r>
        <w:rPr>
          <w:rFonts w:hint="eastAsia" w:ascii="Times New Roman" w:hAnsi="Times New Roman" w:cs="Times New Roman"/>
          <w:lang w:val="en-US" w:eastAsia="zh-CN"/>
        </w:rPr>
        <w:t>高精尖产业领域</w:t>
      </w:r>
      <w:r>
        <w:rPr>
          <w:rFonts w:hint="eastAsia" w:ascii="仿宋_GB2312"/>
          <w:szCs w:val="32"/>
          <w:lang w:eastAsia="zh-Hans"/>
        </w:rPr>
        <w:t>，</w:t>
      </w:r>
      <w:r>
        <w:rPr>
          <w:rFonts w:hint="eastAsia" w:ascii="Times New Roman" w:hAnsi="Times New Roman" w:cs="Times New Roman"/>
        </w:rPr>
        <w:t>加大研发投入，</w:t>
      </w:r>
      <w:r>
        <w:rPr>
          <w:rFonts w:hint="eastAsia" w:ascii="仿宋_GB2312"/>
          <w:szCs w:val="32"/>
          <w:lang w:eastAsia="zh-Hans"/>
        </w:rPr>
        <w:t>夯实自身核心技术基础，持续</w:t>
      </w:r>
      <w:r>
        <w:rPr>
          <w:rFonts w:hint="eastAsia" w:ascii="仿宋_GB2312"/>
          <w:szCs w:val="32"/>
          <w:lang w:val="en-US" w:eastAsia="zh-CN"/>
        </w:rPr>
        <w:t>开展高质量知识产权创造工作，在研究开发的基础上</w:t>
      </w:r>
      <w:r>
        <w:rPr>
          <w:rFonts w:hint="eastAsia" w:ascii="仿宋_GB2312" w:hAnsi="Times New Roman" w:cs="仿宋_GB2312"/>
        </w:rPr>
        <w:t>获得中国发明专利授权</w:t>
      </w:r>
      <w:r>
        <w:rPr>
          <w:rFonts w:hint="eastAsia" w:ascii="仿宋_GB2312"/>
          <w:szCs w:val="32"/>
          <w:lang w:eastAsia="zh-Hans"/>
        </w:rPr>
        <w:t>。</w:t>
      </w:r>
      <w:r>
        <w:rPr>
          <w:rFonts w:hint="eastAsia" w:ascii="仿宋_GB2312"/>
          <w:szCs w:val="32"/>
          <w:lang w:eastAsia="zh-CN"/>
        </w:rPr>
        <w:t>设立知识产权管理制度，</w:t>
      </w:r>
      <w:r>
        <w:rPr>
          <w:rFonts w:hint="eastAsia" w:ascii="仿宋_GB2312" w:hAnsi="Times New Roman" w:cs="仿宋_GB2312"/>
        </w:rPr>
        <w:t>设有知识产权管理部门和管理人员</w:t>
      </w:r>
      <w:r>
        <w:rPr>
          <w:rFonts w:hint="eastAsia" w:ascii="仿宋_GB2312" w:hAnsi="Times New Roman" w:cs="仿宋_GB2312"/>
          <w:lang w:eastAsia="zh-CN"/>
        </w:rPr>
        <w:t>。</w:t>
      </w:r>
      <w:r>
        <w:rPr>
          <w:rFonts w:hint="eastAsia" w:ascii="仿宋_GB2312" w:hAnsi="Times New Roman" w:cs="仿宋_GB2312"/>
        </w:rPr>
        <w:t>相关授权发明专利应用于专利产品或专利密集型产品</w:t>
      </w:r>
      <w:r>
        <w:rPr>
          <w:rFonts w:hint="eastAsia" w:ascii="仿宋_GB2312" w:hAnsi="Times New Roman" w:cs="仿宋_GB2312"/>
          <w:lang w:eastAsia="zh-CN"/>
        </w:rPr>
        <w:t>。</w:t>
      </w:r>
      <w:r>
        <w:rPr>
          <w:rFonts w:hint="eastAsia" w:ascii="仿宋_GB2312" w:hAnsi="Times New Roman" w:cs="仿宋_GB2312"/>
        </w:rPr>
        <w:t>对</w:t>
      </w:r>
      <w:r>
        <w:rPr>
          <w:rFonts w:hint="eastAsia" w:ascii="仿宋_GB2312" w:hAnsi="Times New Roman" w:cs="仿宋_GB2312"/>
          <w:lang w:eastAsia="zh-CN"/>
        </w:rPr>
        <w:t>此类专精特新中小企业</w:t>
      </w:r>
      <w:r>
        <w:rPr>
          <w:rFonts w:hint="eastAsia" w:ascii="仿宋_GB2312" w:hAnsi="Times New Roman" w:cs="仿宋_GB2312"/>
        </w:rPr>
        <w:t>，根据其知识产权投入产出情况，采取后补助方式给予支持，每家支持额度不超过</w:t>
      </w:r>
      <w:r>
        <w:rPr>
          <w:rFonts w:ascii="仿宋_GB2312" w:hAnsi="Times New Roman" w:cs="仿宋_GB2312"/>
        </w:rPr>
        <w:t>5</w:t>
      </w:r>
      <w:r>
        <w:rPr>
          <w:rFonts w:hint="eastAsia" w:ascii="仿宋_GB2312" w:hAnsi="Times New Roman" w:cs="仿宋_GB2312"/>
        </w:rPr>
        <w:t>万元</w:t>
      </w:r>
      <w:r>
        <w:rPr>
          <w:rFonts w:hint="eastAsia" w:ascii="仿宋_GB2312" w:hAnsi="Times New Roman" w:cs="仿宋_GB2312"/>
          <w:lang w:eastAsia="zh-CN"/>
        </w:rPr>
        <w:t>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/>
        </w:rPr>
      </w:pPr>
      <w:r>
        <w:rPr>
          <w:rFonts w:hint="eastAsia"/>
        </w:rPr>
        <w:t>第七条 培育国际知识产权能力强基单位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ind w:firstLine="64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-SA"/>
        </w:rPr>
        <w:t>支持我市创新主体开展国际知识产权布局，促进其国际知识产权能力提升。</w:t>
      </w:r>
      <w:r>
        <w:rPr>
          <w:rFonts w:hint="eastAsia" w:ascii="仿宋_GB2312" w:hAnsi="Times New Roman" w:cs="仿宋_GB2312"/>
          <w:kern w:val="2"/>
          <w:sz w:val="32"/>
          <w:szCs w:val="24"/>
          <w:lang w:val="en-US" w:eastAsia="zh-CN" w:bidi="ar-SA"/>
        </w:rPr>
        <w:t>支持</w:t>
      </w: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-SA"/>
        </w:rPr>
        <w:t>其建立知识产权管理制度，设立专门知识产权管理部门和管理人员，在研究开发的基础上开展国际专利布局，获得国外专利授权，鼓励其相关专利应用于专利产品或专利密集型产品。对</w:t>
      </w:r>
      <w:r>
        <w:rPr>
          <w:rFonts w:hint="eastAsia" w:ascii="仿宋_GB2312" w:hAnsi="Times New Roman" w:cs="仿宋_GB2312"/>
          <w:kern w:val="2"/>
          <w:sz w:val="32"/>
          <w:szCs w:val="24"/>
          <w:lang w:val="en-US" w:eastAsia="zh-CN" w:bidi="ar-SA"/>
        </w:rPr>
        <w:t>符合条件的相关单位</w:t>
      </w: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-SA"/>
        </w:rPr>
        <w:t>，根据其知识产权投入产出情况，采取后补助方式给予支持，每家支持额度不超过20万元。</w:t>
      </w: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/>
        </w:rPr>
      </w:pPr>
      <w:r>
        <w:rPr>
          <w:rFonts w:hint="eastAsia"/>
        </w:rPr>
        <w:t>第八条 支持国际知识产权能力重点单位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/>
        <w:ind w:firstLine="640"/>
        <w:textAlignment w:val="auto"/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-SA"/>
        </w:rPr>
        <w:t>支持我市创新主体加强国际知识产权布局，促进其国际知识产权能力大幅提升。</w:t>
      </w:r>
      <w:r>
        <w:rPr>
          <w:rFonts w:hint="eastAsia" w:ascii="仿宋_GB2312" w:hAnsi="Times New Roman" w:cs="仿宋_GB2312"/>
          <w:kern w:val="2"/>
          <w:sz w:val="32"/>
          <w:szCs w:val="24"/>
          <w:lang w:val="en-US" w:eastAsia="zh-CN" w:bidi="ar-SA"/>
        </w:rPr>
        <w:t>支持其建立</w:t>
      </w: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-SA"/>
        </w:rPr>
        <w:t>知识产权管理制度，设</w:t>
      </w:r>
      <w:r>
        <w:rPr>
          <w:rFonts w:hint="eastAsia" w:ascii="仿宋_GB2312" w:hAnsi="Times New Roman" w:cs="仿宋_GB2312"/>
          <w:kern w:val="2"/>
          <w:sz w:val="32"/>
          <w:szCs w:val="24"/>
          <w:lang w:val="en-US" w:eastAsia="zh-CN" w:bidi="ar-SA"/>
        </w:rPr>
        <w:t>立</w:t>
      </w: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-SA"/>
        </w:rPr>
        <w:t>专门的知识产权管理部门和专职知识产权管理人员，在研究开发的基础开展国际专利布局</w:t>
      </w:r>
      <w:r>
        <w:rPr>
          <w:rFonts w:hint="eastAsia" w:ascii="仿宋_GB2312" w:hAnsi="Times New Roman" w:cs="仿宋_GB2312"/>
          <w:kern w:val="2"/>
          <w:sz w:val="32"/>
          <w:szCs w:val="24"/>
          <w:lang w:val="en-US" w:eastAsia="zh-CN" w:bidi="ar-SA"/>
        </w:rPr>
        <w:t>，</w:t>
      </w: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-SA"/>
        </w:rPr>
        <w:t>获得一定数量国外专利授权，</w:t>
      </w:r>
      <w:r>
        <w:rPr>
          <w:rFonts w:hint="eastAsia" w:ascii="仿宋_GB2312" w:hAnsi="Times New Roman" w:cs="仿宋_GB2312"/>
          <w:kern w:val="2"/>
          <w:sz w:val="32"/>
          <w:szCs w:val="24"/>
          <w:lang w:val="en-US" w:eastAsia="zh-CN" w:bidi="ar-SA"/>
        </w:rPr>
        <w:t>鼓励</w:t>
      </w: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-SA"/>
        </w:rPr>
        <w:t>相关专利应用于专利产品或专利密集型产品。对</w:t>
      </w:r>
      <w:r>
        <w:rPr>
          <w:rFonts w:hint="eastAsia" w:ascii="仿宋_GB2312" w:hAnsi="Times New Roman" w:cs="仿宋_GB2312"/>
          <w:kern w:val="2"/>
          <w:sz w:val="32"/>
          <w:szCs w:val="24"/>
          <w:lang w:val="en-US" w:eastAsia="zh-CN" w:bidi="ar-SA"/>
        </w:rPr>
        <w:t>符合条件的相关单位</w:t>
      </w: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-SA"/>
        </w:rPr>
        <w:t>，根据其知识产权工作开展情况，采取后补助方式给予支持，每家支持额度不超过500万元。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/>
        <w:ind w:firstLine="640"/>
        <w:textAlignment w:val="auto"/>
        <w:rPr>
          <w:rFonts w:hint="eastAsia" w:eastAsia="仿宋_GB2312" w:asciiTheme="minorHAnsi" w:hAnsiTheme="minorHAnsi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eastAsia="仿宋_GB2312" w:asciiTheme="minorHAnsi" w:hAnsiTheme="minorHAnsi" w:cstheme="minorBidi"/>
          <w:kern w:val="2"/>
          <w:sz w:val="32"/>
          <w:szCs w:val="24"/>
          <w:lang w:val="en-US" w:eastAsia="zh-CN" w:bidi="ar-SA"/>
        </w:rPr>
        <w:t>第九条 支持国际知识产权能力标杆单位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/>
        <w:ind w:firstLine="640"/>
        <w:textAlignment w:val="auto"/>
        <w:rPr>
          <w:highlight w:val="none"/>
        </w:rPr>
      </w:pPr>
      <w:r>
        <w:rPr>
          <w:rFonts w:hint="eastAsia"/>
          <w:highlight w:val="none"/>
        </w:rPr>
        <w:t>支持我市创新主体强化国际知识产权布局，稳定其国际知识产权实力地位。完善知识产权管理制度，</w:t>
      </w:r>
      <w:r>
        <w:rPr>
          <w:rFonts w:hint="eastAsia"/>
          <w:highlight w:val="none"/>
          <w:lang w:eastAsia="zh-CN"/>
        </w:rPr>
        <w:t>发挥</w:t>
      </w:r>
      <w:r>
        <w:rPr>
          <w:rFonts w:hint="eastAsia"/>
          <w:highlight w:val="none"/>
        </w:rPr>
        <w:t>知识产权管理部门和专职知识产权管理人员</w:t>
      </w:r>
      <w:r>
        <w:rPr>
          <w:rFonts w:hint="eastAsia"/>
          <w:highlight w:val="none"/>
          <w:lang w:eastAsia="zh-CN"/>
        </w:rPr>
        <w:t>作用</w:t>
      </w:r>
      <w:r>
        <w:rPr>
          <w:rFonts w:hint="eastAsia"/>
          <w:highlight w:val="none"/>
        </w:rPr>
        <w:t>，</w:t>
      </w:r>
      <w:r>
        <w:rPr>
          <w:rFonts w:hint="eastAsia" w:ascii="仿宋_GB2312"/>
          <w:szCs w:val="32"/>
          <w:highlight w:val="none"/>
        </w:rPr>
        <w:t>在研究开发的基础上</w:t>
      </w:r>
      <w:r>
        <w:rPr>
          <w:rFonts w:hint="eastAsia" w:ascii="仿宋_GB2312"/>
          <w:szCs w:val="32"/>
          <w:highlight w:val="none"/>
          <w:lang w:eastAsia="zh-CN"/>
        </w:rPr>
        <w:t>挖掘</w:t>
      </w:r>
      <w:r>
        <w:rPr>
          <w:rFonts w:hint="eastAsia"/>
          <w:highlight w:val="none"/>
        </w:rPr>
        <w:t>国际专利布局并获得国外专利授权，</w:t>
      </w:r>
      <w:r>
        <w:rPr>
          <w:rFonts w:hint="eastAsia"/>
          <w:highlight w:val="none"/>
          <w:lang w:eastAsia="zh-CN"/>
        </w:rPr>
        <w:t>鼓励其</w:t>
      </w:r>
      <w:r>
        <w:rPr>
          <w:rFonts w:hint="eastAsia"/>
          <w:highlight w:val="none"/>
        </w:rPr>
        <w:t>相关专利应用于专利产品或专利密集型产品。</w:t>
      </w: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-SA"/>
        </w:rPr>
        <w:t>对</w:t>
      </w:r>
      <w:r>
        <w:rPr>
          <w:rFonts w:hint="eastAsia" w:ascii="仿宋_GB2312" w:hAnsi="Times New Roman" w:cs="仿宋_GB2312"/>
          <w:kern w:val="2"/>
          <w:sz w:val="32"/>
          <w:szCs w:val="24"/>
          <w:lang w:val="en-US" w:eastAsia="zh-CN" w:bidi="ar-SA"/>
        </w:rPr>
        <w:t>符合条件的相关单位</w:t>
      </w: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-SA"/>
        </w:rPr>
        <w:t>，</w:t>
      </w:r>
      <w:r>
        <w:rPr>
          <w:rFonts w:hint="eastAsia"/>
          <w:highlight w:val="none"/>
        </w:rPr>
        <w:t>根据其知识产权工作开展情况，采取后补助方式给予支持，每家支持额度不超过</w:t>
      </w:r>
      <w:r>
        <w:rPr>
          <w:rFonts w:hint="eastAsia" w:ascii="仿宋_GB2312" w:hAnsi="Times New Roman" w:cs="仿宋_GB2312"/>
          <w:highlight w:val="none"/>
        </w:rPr>
        <w:t>2000</w:t>
      </w:r>
      <w:r>
        <w:rPr>
          <w:rFonts w:hint="eastAsia"/>
          <w:highlight w:val="none"/>
        </w:rPr>
        <w:t>万元。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/>
        <w:ind w:firstLine="640"/>
        <w:textAlignment w:val="auto"/>
        <w:rPr>
          <w:rFonts w:ascii="仿宋_GB2312" w:hAnsi="Times New Roman" w:cs="仿宋_GB2312"/>
          <w:highlight w:val="none"/>
        </w:rPr>
      </w:pPr>
      <w:r>
        <w:rPr>
          <w:rFonts w:hint="eastAsia" w:ascii="仿宋_GB2312" w:hAnsi="Times New Roman" w:cs="仿宋_GB2312"/>
          <w:highlight w:val="none"/>
        </w:rPr>
        <w:t>第十条 支持中</w:t>
      </w:r>
      <w:r>
        <w:rPr>
          <w:rFonts w:hint="eastAsia" w:ascii="仿宋_GB2312" w:hAnsi="Times New Roman" w:cs="仿宋_GB2312"/>
          <w:highlight w:val="none"/>
          <w:lang w:eastAsia="zh-CN"/>
        </w:rPr>
        <w:t>外</w:t>
      </w:r>
      <w:r>
        <w:rPr>
          <w:rFonts w:hint="eastAsia" w:ascii="仿宋_GB2312" w:hAnsi="Times New Roman" w:cs="仿宋_GB2312"/>
          <w:highlight w:val="none"/>
        </w:rPr>
        <w:t>地理标志布局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/>
        <w:ind w:left="0" w:right="0" w:firstLine="0"/>
        <w:jc w:val="both"/>
        <w:textAlignment w:val="auto"/>
        <w:rPr>
          <w:rFonts w:ascii="仿宋_GB2312" w:hAnsi="Times New Roman" w:cs="仿宋_GB2312"/>
          <w:highlight w:val="none"/>
        </w:rPr>
      </w:pPr>
      <w:r>
        <w:rPr>
          <w:rFonts w:hint="eastAsia" w:eastAsia="仿宋_GB2312" w:asciiTheme="minorHAnsi" w:hAnsiTheme="minorHAnsi" w:cstheme="minorBidi"/>
          <w:kern w:val="2"/>
          <w:sz w:val="32"/>
          <w:szCs w:val="24"/>
          <w:highlight w:val="none"/>
          <w:lang w:val="en-US" w:eastAsia="zh-CN" w:bidi="ar-SA"/>
        </w:rPr>
        <w:t>支持我市创新主体参与海外国家和地区地理标志保护国际合作。</w:t>
      </w:r>
      <w:r>
        <w:rPr>
          <w:rFonts w:hint="eastAsia" w:cstheme="minorBidi"/>
          <w:kern w:val="2"/>
          <w:sz w:val="32"/>
          <w:szCs w:val="24"/>
          <w:highlight w:val="none"/>
          <w:lang w:val="en-US" w:eastAsia="zh-CN" w:bidi="ar-SA"/>
        </w:rPr>
        <w:t>对</w:t>
      </w:r>
      <w:r>
        <w:rPr>
          <w:rFonts w:hint="default" w:eastAsia="仿宋_GB2312" w:asciiTheme="minorHAnsi" w:hAnsiTheme="minorHAnsi" w:cstheme="minorBidi"/>
          <w:kern w:val="2"/>
          <w:sz w:val="32"/>
          <w:szCs w:val="24"/>
          <w:highlight w:val="none"/>
          <w:lang w:val="en-US" w:eastAsia="zh-CN" w:bidi="ar-SA"/>
        </w:rPr>
        <w:t>纳入中外互认清单的地理标志，给予拥有地理标志权利的创新主体不超过20万元的一次性奖励。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/>
        <w:ind w:firstLine="640"/>
        <w:textAlignment w:val="auto"/>
        <w:rPr>
          <w:rFonts w:ascii="仿宋_GB2312" w:hAnsi="Times New Roman" w:cs="仿宋_GB2312"/>
          <w:highlight w:val="none"/>
        </w:rPr>
      </w:pPr>
      <w:r>
        <w:rPr>
          <w:rFonts w:hint="eastAsia" w:ascii="仿宋_GB2312" w:hAnsi="Times New Roman" w:cs="仿宋_GB2312"/>
          <w:highlight w:val="none"/>
        </w:rPr>
        <w:t>第十一条 支持知识产权服务出口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/>
        <w:ind w:firstLine="640"/>
        <w:textAlignment w:val="auto"/>
        <w:rPr>
          <w:rFonts w:ascii="仿宋_GB2312" w:hAnsi="Times New Roman" w:cs="仿宋_GB2312"/>
          <w:highlight w:val="none"/>
        </w:rPr>
      </w:pPr>
      <w:r>
        <w:rPr>
          <w:rFonts w:hint="eastAsia"/>
          <w:highlight w:val="none"/>
        </w:rPr>
        <w:t>支持我市创新主体知识产权服务出口，促进创新资源要素的有序流动和优化配置，加速释放创新活力。</w:t>
      </w:r>
      <w:r>
        <w:rPr>
          <w:rFonts w:hint="eastAsia" w:ascii="仿宋_GB2312" w:hAnsi="Times New Roman" w:cs="仿宋_GB2312"/>
          <w:highlight w:val="none"/>
        </w:rPr>
        <w:t>对于知识产权使用费年度出口额超过5000万元的，每个创新主体每年资助不超过20万元。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0" w:firstLineChars="0"/>
        <w:jc w:val="both"/>
        <w:textAlignment w:val="auto"/>
        <w:rPr>
          <w:rFonts w:ascii="Times New Roman" w:hAnsi="Times New Roman" w:cs="Times New Roman"/>
          <w:b/>
          <w:bCs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0" w:firstLineChars="0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第四章　申报与审核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64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第十</w:t>
      </w:r>
      <w:r>
        <w:rPr>
          <w:rFonts w:hint="eastAsia" w:ascii="Times New Roman" w:hAnsi="Times New Roman" w:cs="Times New Roman"/>
          <w:lang w:eastAsia="zh-CN"/>
        </w:rPr>
        <w:t>二</w:t>
      </w:r>
      <w:r>
        <w:rPr>
          <w:rFonts w:ascii="Times New Roman" w:hAnsi="Times New Roman" w:cs="Times New Roman"/>
        </w:rPr>
        <w:t>条　</w:t>
      </w:r>
      <w:r>
        <w:rPr>
          <w:rFonts w:hint="eastAsia" w:ascii="Times New Roman" w:hAnsi="Times New Roman" w:cs="Times New Roman"/>
          <w:lang w:eastAsia="zh-CN"/>
        </w:rPr>
        <w:t>知识产权能力提升计划采取</w:t>
      </w:r>
      <w:r>
        <w:rPr>
          <w:rFonts w:hint="eastAsia" w:ascii="Times New Roman" w:hAnsi="Times New Roman" w:cs="Times New Roman"/>
        </w:rPr>
        <w:t>集中</w:t>
      </w:r>
      <w:r>
        <w:rPr>
          <w:rFonts w:ascii="Times New Roman" w:hAnsi="Times New Roman" w:cs="Times New Roman"/>
        </w:rPr>
        <w:t>申报</w:t>
      </w:r>
      <w:r>
        <w:rPr>
          <w:rFonts w:hint="eastAsia" w:ascii="Times New Roman" w:hAnsi="Times New Roman" w:cs="Times New Roman"/>
          <w:lang w:eastAsia="zh-CN"/>
        </w:rPr>
        <w:t>方式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  <w:lang w:eastAsia="zh-CN"/>
        </w:rPr>
        <w:t>符合条件的</w:t>
      </w:r>
      <w:r>
        <w:rPr>
          <w:rFonts w:ascii="Times New Roman" w:hAnsi="Times New Roman" w:cs="Times New Roman"/>
        </w:rPr>
        <w:t>申请人应当根据申报通知要求及时申报，逾期不予受理。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64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第</w:t>
      </w:r>
      <w:r>
        <w:rPr>
          <w:rFonts w:hint="eastAsia" w:ascii="Times New Roman" w:hAnsi="Times New Roman" w:cs="Times New Roman"/>
        </w:rPr>
        <w:t>十</w:t>
      </w:r>
      <w:r>
        <w:rPr>
          <w:rFonts w:hint="eastAsia" w:ascii="Times New Roman" w:hAnsi="Times New Roman" w:cs="Times New Roman"/>
          <w:lang w:eastAsia="zh-CN"/>
        </w:rPr>
        <w:t>三</w:t>
      </w:r>
      <w:r>
        <w:rPr>
          <w:rFonts w:ascii="Times New Roman" w:hAnsi="Times New Roman" w:cs="Times New Roman"/>
        </w:rPr>
        <w:t>条 申报项目评审前，申报主体在“信用中国”等平台</w:t>
      </w:r>
      <w:r>
        <w:rPr>
          <w:rFonts w:hint="eastAsia" w:ascii="Times New Roman" w:hAnsi="Times New Roman" w:cs="Times New Roman"/>
        </w:rPr>
        <w:t>显示失信信息</w:t>
      </w:r>
      <w:r>
        <w:rPr>
          <w:rFonts w:ascii="Times New Roman" w:hAnsi="Times New Roman" w:cs="Times New Roman"/>
        </w:rPr>
        <w:t>的，取消申报资格。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64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第十</w:t>
      </w:r>
      <w:r>
        <w:rPr>
          <w:rFonts w:hint="eastAsia" w:ascii="Times New Roman" w:hAnsi="Times New Roman" w:cs="Times New Roman"/>
          <w:lang w:eastAsia="zh-CN"/>
        </w:rPr>
        <w:t>四</w:t>
      </w:r>
      <w:r>
        <w:rPr>
          <w:rFonts w:ascii="Times New Roman" w:hAnsi="Times New Roman" w:cs="Times New Roman"/>
        </w:rPr>
        <w:t>条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市知识产权局组织对申请人提交的申报信息进行审核，经审核不符合要求的申请人，应根据申报</w:t>
      </w:r>
      <w:r>
        <w:rPr>
          <w:rFonts w:hint="eastAsia" w:ascii="Times New Roman" w:hAnsi="Times New Roman" w:cs="Times New Roman"/>
        </w:rPr>
        <w:t>通知要求</w:t>
      </w:r>
      <w:r>
        <w:rPr>
          <w:rFonts w:ascii="Times New Roman" w:hAnsi="Times New Roman" w:cs="Times New Roman"/>
        </w:rPr>
        <w:t>对申报信息和材料进行修改补正并重新提交，未在规定时限内重新提交或重新提交后仍不符合要求的，视为放弃申报。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64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第</w:t>
      </w:r>
      <w:r>
        <w:rPr>
          <w:rFonts w:hint="eastAsia" w:ascii="Times New Roman" w:hAnsi="Times New Roman" w:cs="Times New Roman"/>
        </w:rPr>
        <w:t>十</w:t>
      </w:r>
      <w:r>
        <w:rPr>
          <w:rFonts w:hint="eastAsia" w:ascii="Times New Roman" w:hAnsi="Times New Roman" w:cs="Times New Roman"/>
          <w:lang w:eastAsia="zh-CN"/>
        </w:rPr>
        <w:t>五</w:t>
      </w:r>
      <w:r>
        <w:rPr>
          <w:rFonts w:ascii="Times New Roman" w:hAnsi="Times New Roman" w:cs="Times New Roman"/>
        </w:rPr>
        <w:t>条 同一申报单位同一内容的项目已通过其他渠道获取市财政资金支持，本办法不再重复支持。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0" w:firstLineChars="0"/>
        <w:jc w:val="center"/>
        <w:textAlignment w:val="auto"/>
        <w:rPr>
          <w:rFonts w:ascii="Times New Roman" w:hAnsi="Times New Roman" w:cs="Times New Roman"/>
          <w:b/>
          <w:bCs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0" w:firstLineChars="0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第五章　资金发放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64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第十</w:t>
      </w:r>
      <w:r>
        <w:rPr>
          <w:rFonts w:hint="eastAsia" w:ascii="Times New Roman" w:hAnsi="Times New Roman" w:cs="Times New Roman"/>
          <w:lang w:eastAsia="zh-CN"/>
        </w:rPr>
        <w:t>六</w:t>
      </w:r>
      <w:r>
        <w:rPr>
          <w:rFonts w:ascii="Times New Roman" w:hAnsi="Times New Roman" w:cs="Times New Roman"/>
        </w:rPr>
        <w:t>条　</w:t>
      </w:r>
      <w:r>
        <w:rPr>
          <w:rFonts w:hint="eastAsia" w:ascii="Times New Roman" w:hAnsi="Times New Roman" w:cs="Times New Roman"/>
          <w:lang w:eastAsia="zh-CN"/>
        </w:rPr>
        <w:t>知识产权能力提升计划</w:t>
      </w:r>
      <w:r>
        <w:rPr>
          <w:rFonts w:hint="eastAsia" w:ascii="Times New Roman" w:hAnsi="Times New Roman" w:cs="Times New Roman"/>
        </w:rPr>
        <w:t>支持项目</w:t>
      </w:r>
      <w:r>
        <w:rPr>
          <w:rFonts w:ascii="Times New Roman" w:hAnsi="Times New Roman" w:cs="Times New Roman"/>
        </w:rPr>
        <w:t>名单在市知识产权局网站公示，公示期5个工作日。公示期结束后按无异议公示结果予以</w:t>
      </w:r>
      <w:r>
        <w:rPr>
          <w:rFonts w:hint="eastAsia" w:ascii="Times New Roman" w:hAnsi="Times New Roman" w:cs="Times New Roman"/>
        </w:rPr>
        <w:t>支持</w:t>
      </w:r>
      <w:r>
        <w:rPr>
          <w:rFonts w:ascii="Times New Roman" w:hAnsi="Times New Roman" w:cs="Times New Roman"/>
        </w:rPr>
        <w:t>。</w:t>
      </w:r>
    </w:p>
    <w:p>
      <w:pPr>
        <w:pStyle w:val="3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/>
        <w:textAlignment w:val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仿宋_GB2312"/>
          <w:bCs w:val="0"/>
          <w:kern w:val="2"/>
          <w:szCs w:val="32"/>
          <w:highlight w:val="none"/>
          <w:lang w:eastAsia="zh-CN"/>
        </w:rPr>
        <w:t>第十七条</w:t>
      </w:r>
      <w:r>
        <w:rPr>
          <w:rFonts w:hint="eastAsia" w:ascii="Times New Roman" w:hAnsi="Times New Roman" w:eastAsia="仿宋_GB2312"/>
          <w:bCs w:val="0"/>
          <w:kern w:val="2"/>
          <w:szCs w:val="32"/>
          <w:highlight w:val="none"/>
          <w:lang w:val="en-US" w:eastAsia="zh-CN"/>
        </w:rPr>
        <w:t xml:space="preserve">  </w:t>
      </w:r>
      <w:r>
        <w:rPr>
          <w:rFonts w:hint="eastAsia" w:ascii="Times New Roman" w:hAnsi="Times New Roman" w:eastAsia="仿宋_GB2312"/>
          <w:bCs w:val="0"/>
          <w:kern w:val="2"/>
          <w:szCs w:val="32"/>
          <w:highlight w:val="none"/>
          <w:lang w:eastAsia="zh-CN"/>
        </w:rPr>
        <w:t>知识产权能力提升计划</w:t>
      </w:r>
      <w:r>
        <w:rPr>
          <w:rFonts w:hint="eastAsia" w:ascii="Times New Roman" w:hAnsi="Times New Roman" w:eastAsia="仿宋_GB2312"/>
          <w:bCs w:val="0"/>
          <w:kern w:val="2"/>
          <w:szCs w:val="32"/>
          <w:highlight w:val="none"/>
        </w:rPr>
        <w:t>资金由市级财政资金安排，按照年度预算进行使用。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640"/>
        <w:textAlignment w:val="auto"/>
      </w:pPr>
      <w:r>
        <w:rPr>
          <w:rFonts w:hint="eastAsia" w:ascii="Times New Roman" w:hAnsi="Times New Roman" w:cs="Times New Roman"/>
          <w:lang w:eastAsia="zh-CN"/>
        </w:rPr>
        <w:t>第十八条</w:t>
      </w:r>
      <w:r>
        <w:rPr>
          <w:rFonts w:hint="eastAsia" w:ascii="Times New Roman" w:hAnsi="Times New Roman" w:cs="Times New Roman"/>
          <w:lang w:val="en-US" w:eastAsia="zh-CN"/>
        </w:rPr>
        <w:t xml:space="preserve">  </w:t>
      </w:r>
      <w:r>
        <w:rPr>
          <w:rFonts w:ascii="Times New Roman" w:hAnsi="Times New Roman" w:cs="Times New Roman"/>
        </w:rPr>
        <w:t>在拨付支持资金前，如</w:t>
      </w:r>
      <w:r>
        <w:rPr>
          <w:rFonts w:hint="eastAsia" w:ascii="Times New Roman" w:hAnsi="Times New Roman" w:cs="Times New Roman"/>
        </w:rPr>
        <w:t>申报</w:t>
      </w:r>
      <w:r>
        <w:rPr>
          <w:rFonts w:ascii="Times New Roman" w:hAnsi="Times New Roman" w:cs="Times New Roman"/>
        </w:rPr>
        <w:t>单位已经吊销、注销，或注册地迁出本市行政区域，或</w:t>
      </w:r>
      <w:r>
        <w:rPr>
          <w:rFonts w:hint="eastAsia" w:ascii="Times New Roman" w:hAnsi="Times New Roman" w:cs="Times New Roman"/>
        </w:rPr>
        <w:t>申报</w:t>
      </w:r>
      <w:r>
        <w:rPr>
          <w:rFonts w:ascii="Times New Roman" w:hAnsi="Times New Roman" w:cs="Times New Roman"/>
        </w:rPr>
        <w:t>单位和相关人员</w:t>
      </w:r>
      <w:r>
        <w:rPr>
          <w:rFonts w:hint="eastAsia" w:ascii="Times New Roman" w:hAnsi="Times New Roman" w:cs="Times New Roman"/>
        </w:rPr>
        <w:t>出现失信信息</w:t>
      </w:r>
      <w:r>
        <w:rPr>
          <w:rFonts w:ascii="Times New Roman" w:hAnsi="Times New Roman" w:cs="Times New Roman"/>
        </w:rPr>
        <w:t>的，不再予以支持。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640"/>
        <w:textAlignment w:val="auto"/>
        <w:rPr>
          <w:rFonts w:hint="eastAsia" w:ascii="Times New Roman" w:hAnsi="Times New Roman" w:cs="Times New Roman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0" w:firstLineChars="0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第六章　管理与监督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64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第</w:t>
      </w:r>
      <w:r>
        <w:rPr>
          <w:rFonts w:hint="eastAsia" w:ascii="Times New Roman" w:hAnsi="Times New Roman" w:cs="Times New Roman"/>
          <w:lang w:eastAsia="zh-CN"/>
        </w:rPr>
        <w:t>十九</w:t>
      </w:r>
      <w:r>
        <w:rPr>
          <w:rFonts w:ascii="Times New Roman" w:hAnsi="Times New Roman" w:cs="Times New Roman"/>
        </w:rPr>
        <w:t>条　市知识产权局对</w:t>
      </w:r>
      <w:r>
        <w:rPr>
          <w:rFonts w:hint="eastAsia" w:ascii="Times New Roman" w:hAnsi="Times New Roman" w:cs="Times New Roman"/>
        </w:rPr>
        <w:t>本办法支持资金</w:t>
      </w:r>
      <w:r>
        <w:rPr>
          <w:rFonts w:ascii="Times New Roman" w:hAnsi="Times New Roman" w:cs="Times New Roman"/>
        </w:rPr>
        <w:t>进行绩效跟踪和管理，每年根据预算绩效管理相关规定组织开展年度</w:t>
      </w:r>
      <w:r>
        <w:rPr>
          <w:rFonts w:hint="eastAsia" w:ascii="Times New Roman" w:hAnsi="Times New Roman" w:cs="Times New Roman"/>
        </w:rPr>
        <w:t>支持资金</w:t>
      </w:r>
      <w:r>
        <w:rPr>
          <w:rFonts w:ascii="Times New Roman" w:hAnsi="Times New Roman" w:cs="Times New Roman"/>
        </w:rPr>
        <w:t>绩效评价。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640"/>
        <w:textAlignment w:val="auto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第</w:t>
      </w:r>
      <w:r>
        <w:rPr>
          <w:rFonts w:hint="eastAsia" w:ascii="Times New Roman" w:hAnsi="Times New Roman" w:cs="Times New Roman"/>
        </w:rPr>
        <w:t>二十</w:t>
      </w:r>
      <w:r>
        <w:rPr>
          <w:rFonts w:ascii="Times New Roman" w:hAnsi="Times New Roman" w:cs="Times New Roman"/>
        </w:rPr>
        <w:t>条　</w:t>
      </w:r>
      <w:r>
        <w:rPr>
          <w:rFonts w:hint="eastAsia" w:ascii="Times New Roman" w:hAnsi="Times New Roman" w:cs="Times New Roman"/>
        </w:rPr>
        <w:t>获得支持</w:t>
      </w:r>
      <w:r>
        <w:rPr>
          <w:rFonts w:ascii="Times New Roman" w:hAnsi="Times New Roman" w:cs="Times New Roman"/>
        </w:rPr>
        <w:t>的申请人应加强对</w:t>
      </w:r>
      <w:r>
        <w:rPr>
          <w:rFonts w:hint="eastAsia" w:ascii="Times New Roman" w:hAnsi="Times New Roman" w:cs="Times New Roman"/>
        </w:rPr>
        <w:t>支持资金</w:t>
      </w:r>
      <w:r>
        <w:rPr>
          <w:rFonts w:ascii="Times New Roman" w:hAnsi="Times New Roman" w:cs="Times New Roman"/>
        </w:rPr>
        <w:t>使用工作的管理，</w:t>
      </w:r>
      <w:r>
        <w:rPr>
          <w:rFonts w:hint="eastAsia" w:ascii="Times New Roman" w:hAnsi="Times New Roman" w:cs="Times New Roman"/>
        </w:rPr>
        <w:t>将支持资金用于开展知识产权高质量创造和运用工作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eastAsia" w:ascii="Times New Roman" w:hAnsi="Times New Roman" w:cs="Times New Roman"/>
        </w:rPr>
        <w:t>建立健全内部控制制度，实行专款专用，单独核算，</w:t>
      </w:r>
      <w:r>
        <w:rPr>
          <w:rFonts w:ascii="Times New Roman" w:hAnsi="Times New Roman" w:cs="Times New Roman"/>
        </w:rPr>
        <w:t>以保证资金效益发挥</w:t>
      </w:r>
      <w:r>
        <w:rPr>
          <w:rFonts w:hint="eastAsia" w:ascii="Times New Roman" w:hAnsi="Times New Roman" w:cs="Times New Roman"/>
          <w:lang w:eastAsia="zh-CN"/>
        </w:rPr>
        <w:t>。</w:t>
      </w:r>
      <w:r>
        <w:rPr>
          <w:rFonts w:hint="eastAsia" w:ascii="Times New Roman" w:hAnsi="Times New Roman" w:cs="Times New Roman"/>
        </w:rPr>
        <w:t xml:space="preserve"> 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640"/>
        <w:textAlignment w:val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第二十一条</w:t>
      </w:r>
      <w:r>
        <w:rPr>
          <w:rFonts w:hint="eastAsia" w:ascii="Times New Roman" w:hAnsi="Times New Roman" w:cs="Times New Roman"/>
          <w:lang w:val="en-US" w:eastAsia="zh-CN"/>
        </w:rPr>
        <w:t xml:space="preserve"> 获得支持的申请人</w:t>
      </w:r>
      <w:r>
        <w:rPr>
          <w:rFonts w:ascii="Times New Roman" w:hAnsi="Times New Roman" w:cs="Times New Roman"/>
        </w:rPr>
        <w:t>应积极配合市知识产权局开展</w:t>
      </w:r>
      <w:r>
        <w:rPr>
          <w:rFonts w:hint="eastAsia" w:ascii="Times New Roman" w:hAnsi="Times New Roman" w:cs="Times New Roman"/>
        </w:rPr>
        <w:t>支持资金</w:t>
      </w:r>
      <w:r>
        <w:rPr>
          <w:rFonts w:ascii="Times New Roman" w:hAnsi="Times New Roman" w:cs="Times New Roman"/>
        </w:rPr>
        <w:t>专项审计工作，并根据审计工作要求提供相关材料。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64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第</w:t>
      </w:r>
      <w:r>
        <w:rPr>
          <w:rFonts w:hint="eastAsia" w:ascii="Times New Roman" w:hAnsi="Times New Roman" w:cs="Times New Roman"/>
        </w:rPr>
        <w:t>二十</w:t>
      </w:r>
      <w:r>
        <w:rPr>
          <w:rFonts w:hint="eastAsia" w:ascii="Times New Roman" w:hAnsi="Times New Roman" w:cs="Times New Roman"/>
          <w:lang w:eastAsia="zh-CN"/>
        </w:rPr>
        <w:t>二</w:t>
      </w:r>
      <w:r>
        <w:rPr>
          <w:rFonts w:ascii="Times New Roman" w:hAnsi="Times New Roman" w:cs="Times New Roman"/>
        </w:rPr>
        <w:t>条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ascii="Times New Roman" w:hAnsi="Times New Roman" w:cs="Times New Roman"/>
        </w:rPr>
        <w:t>申请人在申报</w:t>
      </w:r>
      <w:r>
        <w:rPr>
          <w:rFonts w:hint="eastAsia" w:ascii="Times New Roman" w:hAnsi="Times New Roman" w:cs="Times New Roman"/>
        </w:rPr>
        <w:t>支持资金</w:t>
      </w:r>
      <w:r>
        <w:rPr>
          <w:rFonts w:ascii="Times New Roman" w:hAnsi="Times New Roman" w:cs="Times New Roman"/>
        </w:rPr>
        <w:t>过程中弄虚作假套取资金的，限期交回已拨付的资金，取消五年内申报资格；情节严重构成犯罪的，移送司法机关依法处理。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64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第二十</w:t>
      </w:r>
      <w:r>
        <w:rPr>
          <w:rFonts w:hint="eastAsia" w:ascii="Times New Roman" w:hAnsi="Times New Roman" w:cs="Times New Roman"/>
          <w:lang w:eastAsia="zh-CN"/>
        </w:rPr>
        <w:t>三</w:t>
      </w:r>
      <w:r>
        <w:rPr>
          <w:rFonts w:ascii="Times New Roman" w:hAnsi="Times New Roman" w:cs="Times New Roman"/>
        </w:rPr>
        <w:t>条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</w:rPr>
        <w:t>支持资金</w:t>
      </w:r>
      <w:r>
        <w:rPr>
          <w:rFonts w:ascii="Times New Roman" w:hAnsi="Times New Roman" w:cs="Times New Roman"/>
        </w:rPr>
        <w:t>的申报、审核、发放工作接受社会监督和群众举报。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640"/>
        <w:textAlignment w:val="auto"/>
        <w:rPr>
          <w:rFonts w:ascii="Times New Roman" w:hAnsi="Times New Roman" w:cs="Times New Roman"/>
        </w:rPr>
      </w:pP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0" w:firstLineChars="0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第七章　附则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64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第二十</w:t>
      </w:r>
      <w:r>
        <w:rPr>
          <w:rFonts w:hint="eastAsia" w:ascii="Times New Roman" w:hAnsi="Times New Roman" w:cs="Times New Roman"/>
          <w:lang w:eastAsia="zh-CN"/>
        </w:rPr>
        <w:t>四</w:t>
      </w:r>
      <w:r>
        <w:rPr>
          <w:rFonts w:ascii="Times New Roman" w:hAnsi="Times New Roman" w:cs="Times New Roman"/>
        </w:rPr>
        <w:t>条　</w:t>
      </w:r>
      <w:r>
        <w:rPr>
          <w:rFonts w:hint="eastAsia" w:ascii="FangSong_GB2312" w:hAnsi="仿宋" w:eastAsia="FangSong_GB2312"/>
          <w:sz w:val="32"/>
          <w:szCs w:val="32"/>
        </w:rPr>
        <w:t>本办法由北京市知识产权局负责解释。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640"/>
        <w:textAlignment w:val="auto"/>
        <w:rPr>
          <w:rFonts w:ascii="仿宋_GB2312" w:hAnsi="Times New Roman"/>
          <w:kern w:val="0"/>
        </w:rPr>
      </w:pPr>
      <w:r>
        <w:rPr>
          <w:rFonts w:ascii="Times New Roman" w:hAnsi="Times New Roman" w:cs="Times New Roman"/>
        </w:rPr>
        <w:t>第二十</w:t>
      </w:r>
      <w:r>
        <w:rPr>
          <w:rFonts w:hint="eastAsia" w:ascii="Times New Roman" w:hAnsi="Times New Roman" w:cs="Times New Roman"/>
          <w:lang w:eastAsia="zh-CN"/>
        </w:rPr>
        <w:t>五</w:t>
      </w:r>
      <w:r>
        <w:rPr>
          <w:rFonts w:ascii="Times New Roman" w:hAnsi="Times New Roman" w:cs="Times New Roman"/>
        </w:rPr>
        <w:t>条　本办法自</w:t>
      </w:r>
      <w:r>
        <w:rPr>
          <w:rFonts w:hint="eastAsia" w:ascii="Times New Roman" w:hAnsi="Times New Roman" w:cs="Times New Roman"/>
          <w:lang w:eastAsia="zh-CN"/>
        </w:rPr>
        <w:t>发布之日</w:t>
      </w:r>
      <w:r>
        <w:rPr>
          <w:rFonts w:ascii="Times New Roman" w:hAnsi="Times New Roman" w:cs="Times New Roman"/>
        </w:rPr>
        <w:t>起</w:t>
      </w:r>
      <w:r>
        <w:rPr>
          <w:rFonts w:hint="eastAsia" w:ascii="Times New Roman" w:hAnsi="Times New Roman" w:cs="Times New Roman"/>
          <w:lang w:eastAsia="zh-CN"/>
        </w:rPr>
        <w:t>实施</w:t>
      </w:r>
      <w:r>
        <w:rPr>
          <w:rFonts w:ascii="Times New Roman" w:hAnsi="Times New Roman" w:cs="Times New Roman"/>
        </w:rPr>
        <w:t>。</w:t>
      </w:r>
    </w:p>
    <w:p>
      <w:pPr>
        <w:pStyle w:val="2"/>
        <w:pageBreakBefore w:val="0"/>
        <w:kinsoku/>
        <w:wordWrap/>
        <w:overflowPunct/>
        <w:topLinePunct w:val="0"/>
        <w:bidi w:val="0"/>
        <w:adjustRightInd w:val="0"/>
        <w:snapToGrid w:val="0"/>
        <w:spacing w:after="0" w:line="560" w:lineRule="exact"/>
        <w:ind w:firstLine="0" w:firstLineChars="0"/>
        <w:textAlignment w:val="auto"/>
        <w:rPr>
          <w:rFonts w:ascii="Times New Roman" w:hAnsi="Times New Roman"/>
          <w:lang w:val="zh-CN"/>
        </w:rPr>
      </w:pPr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/>
        <w:textAlignment w:val="auto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angSong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282879"/>
    </w:sdtPr>
    <w:sdtContent>
      <w:p>
        <w:pPr>
          <w:pStyle w:val="6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64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2CD6C"/>
    <w:multiLevelType w:val="singleLevel"/>
    <w:tmpl w:val="FB72CD6C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37DD5CF4"/>
    <w:multiLevelType w:val="singleLevel"/>
    <w:tmpl w:val="37DD5CF4"/>
    <w:lvl w:ilvl="0" w:tentative="0">
      <w:start w:val="5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xMTc2ZDNiNWFiNWNkZWZlYTQyZjEzZGE2OGRjMjUifQ=="/>
  </w:docVars>
  <w:rsids>
    <w:rsidRoot w:val="5DF95AAA"/>
    <w:rsid w:val="00006AF3"/>
    <w:rsid w:val="00097EC6"/>
    <w:rsid w:val="000D3441"/>
    <w:rsid w:val="00132561"/>
    <w:rsid w:val="001A24FE"/>
    <w:rsid w:val="001C64C6"/>
    <w:rsid w:val="002219ED"/>
    <w:rsid w:val="00227BA0"/>
    <w:rsid w:val="002A435B"/>
    <w:rsid w:val="002C57FE"/>
    <w:rsid w:val="002D35F7"/>
    <w:rsid w:val="002E250D"/>
    <w:rsid w:val="002F2048"/>
    <w:rsid w:val="00335F33"/>
    <w:rsid w:val="003603E7"/>
    <w:rsid w:val="00376FB2"/>
    <w:rsid w:val="003B5EBB"/>
    <w:rsid w:val="003F0EBC"/>
    <w:rsid w:val="004402DA"/>
    <w:rsid w:val="00487EEA"/>
    <w:rsid w:val="004954B2"/>
    <w:rsid w:val="00595418"/>
    <w:rsid w:val="00596289"/>
    <w:rsid w:val="005B51EE"/>
    <w:rsid w:val="005E0DFC"/>
    <w:rsid w:val="005F208B"/>
    <w:rsid w:val="005F374E"/>
    <w:rsid w:val="00610655"/>
    <w:rsid w:val="00617003"/>
    <w:rsid w:val="00694524"/>
    <w:rsid w:val="006A184D"/>
    <w:rsid w:val="006F701E"/>
    <w:rsid w:val="007039D6"/>
    <w:rsid w:val="00736D50"/>
    <w:rsid w:val="007435EA"/>
    <w:rsid w:val="00827142"/>
    <w:rsid w:val="008472DA"/>
    <w:rsid w:val="00864CE3"/>
    <w:rsid w:val="0086659A"/>
    <w:rsid w:val="008E7F80"/>
    <w:rsid w:val="00904019"/>
    <w:rsid w:val="00911BBD"/>
    <w:rsid w:val="00982B46"/>
    <w:rsid w:val="009C4064"/>
    <w:rsid w:val="00A26586"/>
    <w:rsid w:val="00AB6555"/>
    <w:rsid w:val="00AC7EEB"/>
    <w:rsid w:val="00BB2A04"/>
    <w:rsid w:val="00BF3646"/>
    <w:rsid w:val="00BF4BB8"/>
    <w:rsid w:val="00CA4E08"/>
    <w:rsid w:val="00CF683E"/>
    <w:rsid w:val="00D83271"/>
    <w:rsid w:val="00F0070E"/>
    <w:rsid w:val="00F32F0C"/>
    <w:rsid w:val="00F827A1"/>
    <w:rsid w:val="00F9181C"/>
    <w:rsid w:val="00F95436"/>
    <w:rsid w:val="00FA6EE1"/>
    <w:rsid w:val="0EDBB214"/>
    <w:rsid w:val="14FA6804"/>
    <w:rsid w:val="178F44BE"/>
    <w:rsid w:val="1BFFB171"/>
    <w:rsid w:val="23B7F366"/>
    <w:rsid w:val="29BF7B9B"/>
    <w:rsid w:val="2EDDE676"/>
    <w:rsid w:val="2EFFFA2C"/>
    <w:rsid w:val="367F74AF"/>
    <w:rsid w:val="3B721530"/>
    <w:rsid w:val="3ED75826"/>
    <w:rsid w:val="46F5E5C6"/>
    <w:rsid w:val="4EFBC515"/>
    <w:rsid w:val="4FFF3F58"/>
    <w:rsid w:val="5AF7CFB4"/>
    <w:rsid w:val="5DF95AAA"/>
    <w:rsid w:val="5F489ECD"/>
    <w:rsid w:val="5FDF7497"/>
    <w:rsid w:val="5FF54905"/>
    <w:rsid w:val="5FF652FB"/>
    <w:rsid w:val="6A7538DD"/>
    <w:rsid w:val="6D350D9B"/>
    <w:rsid w:val="6D7BBC89"/>
    <w:rsid w:val="6DEA7E8B"/>
    <w:rsid w:val="6FB732C5"/>
    <w:rsid w:val="77BF0A2E"/>
    <w:rsid w:val="77FD6478"/>
    <w:rsid w:val="7BEF94C1"/>
    <w:rsid w:val="7D124E20"/>
    <w:rsid w:val="7E5D37B0"/>
    <w:rsid w:val="7EEF37B2"/>
    <w:rsid w:val="7F999450"/>
    <w:rsid w:val="7FBFF606"/>
    <w:rsid w:val="7FDED32D"/>
    <w:rsid w:val="7FEF6B24"/>
    <w:rsid w:val="7FF979C5"/>
    <w:rsid w:val="7FFF078F"/>
    <w:rsid w:val="7FFF3621"/>
    <w:rsid w:val="7FFF7AF2"/>
    <w:rsid w:val="8F77FF18"/>
    <w:rsid w:val="957F1E8A"/>
    <w:rsid w:val="A3FF9C13"/>
    <w:rsid w:val="BEFF9B8A"/>
    <w:rsid w:val="D7078501"/>
    <w:rsid w:val="D95F907C"/>
    <w:rsid w:val="D9BF469F"/>
    <w:rsid w:val="D9F752A8"/>
    <w:rsid w:val="DDFFFE27"/>
    <w:rsid w:val="DEFAC508"/>
    <w:rsid w:val="E47726B8"/>
    <w:rsid w:val="E57B3578"/>
    <w:rsid w:val="E73C7BDD"/>
    <w:rsid w:val="E9DD3284"/>
    <w:rsid w:val="EDAA43E9"/>
    <w:rsid w:val="F2F38ABA"/>
    <w:rsid w:val="F36300C2"/>
    <w:rsid w:val="F699613A"/>
    <w:rsid w:val="F75F53BA"/>
    <w:rsid w:val="FBDAC3EA"/>
    <w:rsid w:val="FBDD718B"/>
    <w:rsid w:val="FD4DFDB0"/>
    <w:rsid w:val="FDED4FC3"/>
    <w:rsid w:val="FEBA207D"/>
    <w:rsid w:val="FED66C23"/>
    <w:rsid w:val="FEEF0BBA"/>
    <w:rsid w:val="FFDB0189"/>
    <w:rsid w:val="FFDF9917"/>
    <w:rsid w:val="FFDFB9EF"/>
    <w:rsid w:val="FFEF0915"/>
    <w:rsid w:val="FFF68172"/>
    <w:rsid w:val="FFF85F30"/>
    <w:rsid w:val="FFF9A0A6"/>
    <w:rsid w:val="FFFC0A2B"/>
    <w:rsid w:val="FFFF2D46"/>
    <w:rsid w:val="FFFFA184"/>
    <w:rsid w:val="FFFFD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atLeast"/>
      <w:ind w:firstLine="880"/>
      <w:outlineLvl w:val="0"/>
    </w:pPr>
    <w:rPr>
      <w:rFonts w:eastAsia="黑体"/>
      <w:bCs/>
      <w:kern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ind w:firstLine="640"/>
      <w:outlineLvl w:val="1"/>
    </w:pPr>
    <w:rPr>
      <w:rFonts w:ascii="楷体_GB2312" w:hAnsi="黑体" w:eastAsia="楷体_GB2312"/>
      <w:bCs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5">
    <w:name w:val="Balloon Text"/>
    <w:basedOn w:val="1"/>
    <w:link w:val="12"/>
    <w:qFormat/>
    <w:uiPriority w:val="0"/>
    <w:pPr>
      <w:spacing w:line="240" w:lineRule="auto"/>
    </w:pPr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character" w:customStyle="1" w:styleId="12">
    <w:name w:val="批注框文本 字符"/>
    <w:basedOn w:val="11"/>
    <w:link w:val="5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387</Words>
  <Characters>2207</Characters>
  <Lines>18</Lines>
  <Paragraphs>5</Paragraphs>
  <TotalTime>44</TotalTime>
  <ScaleCrop>false</ScaleCrop>
  <LinksUpToDate>false</LinksUpToDate>
  <CharactersWithSpaces>2589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2023-12-02T11:26:00Z</dcterms:created>
  <dc:creator>高永懿</dc:creator>
  <cp:lastModifiedBy>user</cp:lastModifiedBy>
  <cp:lastPrinted>2024-03-16T13:01:00Z</cp:lastPrinted>
  <dcterms:modified xsi:type="dcterms:W3CDTF">2024-03-19T09:23:57Z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A25DD01FA1DC4552B9213BF5219B3B1A_13</vt:lpwstr>
  </property>
</Properties>
</file>