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default" w:ascii="Times New Roman" w:hAnsi="Times New Roman" w:eastAsia="宋体" w:cs="Times New Roman"/>
          <w:i w:val="0"/>
          <w:iCs w:val="0"/>
          <w:caps w:val="0"/>
          <w:color w:val="404040"/>
          <w:spacing w:val="0"/>
          <w:sz w:val="28"/>
          <w:szCs w:val="28"/>
        </w:rPr>
      </w:pPr>
      <w:r>
        <w:rPr>
          <w:rFonts w:hint="default" w:ascii="Times New Roman" w:hAnsi="Times New Roman" w:eastAsia="宋体" w:cs="Times New Roman"/>
          <w:i w:val="0"/>
          <w:iCs w:val="0"/>
          <w:caps w:val="0"/>
          <w:color w:val="404040"/>
          <w:spacing w:val="0"/>
          <w:sz w:val="28"/>
          <w:szCs w:val="28"/>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default" w:ascii="Times New Roman" w:hAnsi="Times New Roman" w:eastAsia="宋体" w:cs="Times New Roman"/>
          <w:i w:val="0"/>
          <w:iCs w:val="0"/>
          <w:caps w:val="0"/>
          <w:color w:val="404040"/>
          <w:spacing w:val="0"/>
          <w:sz w:val="28"/>
          <w:szCs w:val="28"/>
        </w:rPr>
      </w:pPr>
      <w:r>
        <w:rPr>
          <w:rFonts w:hint="default" w:ascii="Times New Roman" w:hAnsi="Times New Roman" w:eastAsia="宋体" w:cs="Times New Roman"/>
          <w:i w:val="0"/>
          <w:iCs w:val="0"/>
          <w:caps w:val="0"/>
          <w:color w:val="404040"/>
          <w:spacing w:val="0"/>
          <w:sz w:val="28"/>
          <w:szCs w:val="28"/>
        </w:rPr>
        <w:t>202</w:t>
      </w:r>
      <w:r>
        <w:rPr>
          <w:rFonts w:hint="default" w:ascii="Times New Roman" w:hAnsi="Times New Roman" w:eastAsia="宋体" w:cs="Times New Roman"/>
          <w:i w:val="0"/>
          <w:iCs w:val="0"/>
          <w:caps w:val="0"/>
          <w:color w:val="404040"/>
          <w:spacing w:val="0"/>
          <w:sz w:val="28"/>
          <w:szCs w:val="28"/>
          <w:lang w:val="en-US" w:eastAsia="zh-CN"/>
        </w:rPr>
        <w:t>2</w:t>
      </w:r>
      <w:r>
        <w:rPr>
          <w:rFonts w:hint="default" w:ascii="Times New Roman" w:hAnsi="Times New Roman" w:eastAsia="宋体" w:cs="Times New Roman"/>
          <w:i w:val="0"/>
          <w:iCs w:val="0"/>
          <w:caps w:val="0"/>
          <w:color w:val="404040"/>
          <w:spacing w:val="0"/>
          <w:sz w:val="28"/>
          <w:szCs w:val="28"/>
        </w:rPr>
        <w:t>年知识产权服务机构提升国际服务质量资助项目明细表</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3"/>
        <w:gridCol w:w="3557"/>
        <w:gridCol w:w="3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3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申报单位</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申请项目类别</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341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1.中科专利商标代理有限责任公司</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1.雇佣本领域优秀外籍人士</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雇佣韩国籍员工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341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2.华智众创（北京）投资管理有限责任公司</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2.开展知识产权国际交流活动</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推荐企业（项目）参展日内瓦国际发明展等国际展会，开展知识产权国际交流活动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341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i w:val="0"/>
                <w:iCs w:val="0"/>
                <w:color w:val="000000"/>
                <w:sz w:val="21"/>
                <w:szCs w:val="21"/>
                <w:u w:val="none"/>
              </w:rPr>
            </w:pP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3.主办、协办或参加境外知识产权论坛、会议等活动并发布主旨演讲或组织专题活动</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404040"/>
                <w:sz w:val="21"/>
                <w:szCs w:val="21"/>
              </w:rPr>
            </w:pPr>
            <w:r>
              <w:rPr>
                <w:rFonts w:hint="default" w:ascii="Times New Roman" w:hAnsi="Times New Roman" w:eastAsia="宋体" w:cs="Times New Roman"/>
                <w:color w:val="000000"/>
                <w:sz w:val="21"/>
                <w:szCs w:val="21"/>
              </w:rPr>
              <w:t>主办、参加2021世界制造业大会新兴产业知识产权发展</w:t>
            </w:r>
            <w:bookmarkStart w:id="0" w:name="_GoBack"/>
            <w:bookmarkEnd w:id="0"/>
            <w:r>
              <w:rPr>
                <w:rFonts w:hint="default" w:ascii="Times New Roman" w:hAnsi="Times New Roman" w:eastAsia="宋体" w:cs="Times New Roman"/>
                <w:color w:val="000000"/>
                <w:sz w:val="21"/>
                <w:szCs w:val="21"/>
              </w:rPr>
              <w:t>与保护论坛等国际论坛，进行主旨演讲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jc w:val="center"/>
        </w:trPr>
        <w:tc>
          <w:tcPr>
            <w:tcW w:w="341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i w:val="0"/>
                <w:iCs w:val="0"/>
                <w:color w:val="000000"/>
                <w:sz w:val="21"/>
                <w:szCs w:val="21"/>
                <w:u w:val="none"/>
              </w:rPr>
            </w:pP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4.邀请国际知识产权专家</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邀请世界知识产权组织及日本贸易振兴机构的相关专家参加高价值知识产权智能产品创新创意大赛及世界制造业大会新兴产业知识产权发展与保护论坛活动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341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3.北京万慧达知识产权代理有限公司</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5.主办、协办或参加境外知识产权论坛、会议等活动并发布主旨演讲或组织专题活动</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404040"/>
                <w:sz w:val="21"/>
                <w:szCs w:val="21"/>
                <w:u w:val="none"/>
              </w:rPr>
            </w:pPr>
            <w:r>
              <w:rPr>
                <w:rFonts w:hint="default" w:ascii="Times New Roman" w:hAnsi="Times New Roman" w:eastAsia="宋体" w:cs="Times New Roman"/>
                <w:color w:val="000000"/>
                <w:sz w:val="21"/>
                <w:szCs w:val="21"/>
              </w:rPr>
              <w:t>万慧达参加第144届国际商标协会（INTA）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341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color w:val="000000"/>
                <w:sz w:val="21"/>
                <w:szCs w:val="21"/>
              </w:rPr>
            </w:pP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6.购买价格在20万以上的国际知识产权数据库</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购买科睿唯安全球商标数据库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341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4.北京东方亿思知识产权代理有限责任公司</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7.雇佣本领域优秀外籍人士</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雇佣布上由贵NUNOKAMI YUKI  、可儿由美YUMI KANI优秀外籍人士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341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color w:val="000000"/>
                <w:sz w:val="21"/>
                <w:szCs w:val="21"/>
              </w:rPr>
            </w:pP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8.开展知识产权国际交流活动</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王燎腾博士培训项目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341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5.北京集慧智佳知识产权管理咨询股份有限公司</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9.购买价格在20万以上的国际知识产权数据库</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404040"/>
                <w:sz w:val="21"/>
                <w:szCs w:val="21"/>
              </w:rPr>
            </w:pPr>
            <w:r>
              <w:rPr>
                <w:rFonts w:hint="default" w:ascii="Times New Roman" w:hAnsi="Times New Roman" w:eastAsia="宋体" w:cs="Times New Roman"/>
                <w:color w:val="000000"/>
                <w:sz w:val="21"/>
                <w:szCs w:val="21"/>
              </w:rPr>
              <w:t>购买国际知识产权数据库——德温特创新平台（Derwent Innovation）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341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6.首都知识产权服务业协会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10.主办、协办或参加境外知识产权论坛、会议等活动并发布主旨演讲或组织专题活动</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国际知识产权论坛、会议系列活动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341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color w:val="000000"/>
                <w:sz w:val="21"/>
                <w:szCs w:val="21"/>
              </w:rPr>
            </w:pP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11.其他提升知识产权国际服务质量的活动</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依托北京（中关村）国际知识产权服务大厅开展知识产权国际综合服务活动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341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7.北京集佳知识产权代理有限公司</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12.购买价格在20万以上的国际知识产权数据库</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购买国际知识产权数据库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341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8.北京同立钧成知识产权代理有限公司</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13.雇佣本领域优秀外籍人士</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2022年知识产权服务机构提升国际服务质量支持项目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jc w:val="center"/>
        </w:trPr>
        <w:tc>
          <w:tcPr>
            <w:tcW w:w="341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000000"/>
                <w:sz w:val="21"/>
                <w:szCs w:val="21"/>
              </w:rPr>
              <w:t>9.北京博雅睿泉专利代理事务所（特殊普通合伙）</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000000"/>
                <w:sz w:val="21"/>
                <w:szCs w:val="21"/>
              </w:rPr>
              <w:t>14.购买价格在20万以上的国际知识产权数据库</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000000"/>
                <w:sz w:val="21"/>
                <w:szCs w:val="21"/>
              </w:rPr>
              <w:t>购买智慧芽数据库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341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color w:val="00000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color w:val="00000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10.北京国专知识产权有限责任公司</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15.其他提升知识产权国际服务质量的活动</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参展全球系列知识产权峰会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341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i w:val="0"/>
                <w:iCs w:val="0"/>
                <w:color w:val="000000"/>
                <w:sz w:val="21"/>
                <w:szCs w:val="21"/>
                <w:u w:val="none"/>
              </w:rPr>
            </w:pP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16.其他提升知识产权国际服务质量的活动</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海外缴费业务的软件开发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341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hint="default" w:ascii="Times New Roman" w:hAnsi="Times New Roman" w:eastAsia="宋体" w:cs="Times New Roman"/>
                <w:i w:val="0"/>
                <w:iCs w:val="0"/>
                <w:color w:val="000000"/>
                <w:sz w:val="21"/>
                <w:szCs w:val="21"/>
                <w:u w:val="none"/>
              </w:rPr>
            </w:pP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000000"/>
                <w:sz w:val="21"/>
                <w:szCs w:val="21"/>
              </w:rPr>
              <w:t>17.其他提升知识产权国际服务质量的活动</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000000"/>
                <w:sz w:val="21"/>
                <w:szCs w:val="21"/>
              </w:rPr>
              <w:t>海外专利费用指引项目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341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000000"/>
                <w:sz w:val="21"/>
                <w:szCs w:val="21"/>
              </w:rPr>
              <w:t>11.北京知人善用科技发展有限公司</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000000"/>
                <w:sz w:val="21"/>
                <w:szCs w:val="21"/>
              </w:rPr>
              <w:t>18.开展知识产权国际交流活动</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color w:val="000000"/>
                <w:sz w:val="21"/>
                <w:szCs w:val="21"/>
              </w:rPr>
              <w:t>国际高端知识产权服务资源赴粤考察活动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341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12.知识产权出版社有限责任公司</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19.购买价格在20万以上的国际知识产权数据库</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知识产权服务机构提升国际服务质量支持项目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341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13.北京市专利代理师协会</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20.其他提升知识产权国际服务质量的活动</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“一带一路”沿线国家知识产权服务机构推荐工作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341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14.北京润泽恒知识产权代理有限公司</w:t>
            </w:r>
          </w:p>
        </w:tc>
        <w:tc>
          <w:tcPr>
            <w:tcW w:w="3557"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21.开展人才国际化培养</w:t>
            </w:r>
          </w:p>
        </w:tc>
        <w:tc>
          <w:tcPr>
            <w:tcW w:w="3343"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sz w:val="21"/>
                <w:szCs w:val="21"/>
              </w:rPr>
              <w:t>选派相关人员参加北京市专利代理师协会主办的涉外业务培训班</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hint="default" w:ascii="Times New Roman" w:hAnsi="Times New Roman" w:eastAsia="宋体" w:cs="Times New Roman"/>
          <w:i w:val="0"/>
          <w:iCs w:val="0"/>
          <w:caps w:val="0"/>
          <w:color w:val="404040"/>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default" w:ascii="Times New Roman" w:hAnsi="Times New Roman" w:eastAsia="宋体" w:cs="Times New Roman"/>
          <w:i w:val="0"/>
          <w:iCs w:val="0"/>
          <w:caps w:val="0"/>
          <w:color w:val="404040"/>
          <w:spacing w:val="0"/>
          <w:sz w:val="28"/>
          <w:szCs w:val="28"/>
        </w:rPr>
      </w:pPr>
    </w:p>
    <w:p>
      <w:pPr>
        <w:bidi w:val="0"/>
        <w:spacing w:line="360" w:lineRule="auto"/>
        <w:jc w:val="left"/>
        <w:rPr>
          <w:rFonts w:hint="default" w:ascii="Times New Roman" w:hAnsi="Times New Roman" w:eastAsia="宋体" w:cs="Times New Roman"/>
          <w:kern w:val="2"/>
          <w:sz w:val="28"/>
          <w:szCs w:val="28"/>
          <w:lang w:val="en-US" w:eastAsia="zh-CN" w:bidi="ar-S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YjUxOGM3ZjVkNDhmNGRlMzQwNGQ0ZTY1MTk3MTUifQ=="/>
  </w:docVars>
  <w:rsids>
    <w:rsidRoot w:val="00000000"/>
    <w:rsid w:val="127E7284"/>
    <w:rsid w:val="1A6000F0"/>
    <w:rsid w:val="22366F93"/>
    <w:rsid w:val="233D0598"/>
    <w:rsid w:val="5B715AC9"/>
    <w:rsid w:val="E97C9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首行缩进 21"/>
    <w:qFormat/>
    <w:uiPriority w:val="0"/>
    <w:pPr>
      <w:ind w:left="420" w:firstLine="420"/>
    </w:pPr>
    <w:rPr>
      <w:rFonts w:ascii="Times New Roman" w:hAnsi="Times New Roman" w:eastAsia="宋体" w:cs="Times New Roman"/>
      <w:lang w:val="en-US" w:eastAsia="zh-CN" w:bidi="ar-SA"/>
    </w:rPr>
  </w:style>
  <w:style w:type="paragraph" w:styleId="3">
    <w:name w:val="Body Text"/>
    <w:basedOn w:val="1"/>
    <w:qFormat/>
    <w:uiPriority w:val="0"/>
    <w:rPr>
      <w:rFonts w:eastAsia="宋体"/>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1109</Words>
  <Characters>1212</Characters>
  <Lines>0</Lines>
  <Paragraphs>0</Paragraphs>
  <TotalTime>7</TotalTime>
  <ScaleCrop>false</ScaleCrop>
  <LinksUpToDate>false</LinksUpToDate>
  <CharactersWithSpaces>1217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2022-11-09T15:06:00Z</dcterms:created>
  <dc:creator>Administrator</dc:creator>
  <cp:lastModifiedBy>是晨阳呀</cp:lastModifiedBy>
  <dcterms:modified xsi:type="dcterms:W3CDTF">2022-11-10T08:40:56Z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CB8CA96375CA459AA39A99264734B8DF</vt:lpwstr>
  </property>
</Properties>
</file>