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eastAsia="方正小标宋简体"/>
          <w:sz w:val="44"/>
        </w:rPr>
      </w:pPr>
      <w:bookmarkStart w:id="0" w:name="_GoBack"/>
      <w:bookmarkEnd w:id="0"/>
      <w:r>
        <w:rPr>
          <w:rFonts w:hint="eastAsia" w:ascii="方正小标宋简体" w:eastAsia="方正小标宋简体"/>
          <w:sz w:val="44"/>
        </w:rPr>
        <w:t>202</w:t>
      </w:r>
      <w:r>
        <w:rPr>
          <w:rFonts w:hint="eastAsia" w:ascii="方正小标宋简体" w:eastAsia="方正小标宋简体"/>
          <w:sz w:val="44"/>
          <w:lang w:val="en-US" w:eastAsia="zh-CN"/>
        </w:rPr>
        <w:t>2</w:t>
      </w:r>
      <w:r>
        <w:rPr>
          <w:rFonts w:hint="eastAsia" w:ascii="方正小标宋简体" w:eastAsia="方正小标宋简体"/>
          <w:sz w:val="44"/>
        </w:rPr>
        <w:t>年北京市知识产权保险试点产品介绍</w:t>
      </w:r>
    </w:p>
    <w:p>
      <w:pPr>
        <w:adjustRightInd w:val="0"/>
        <w:snapToGrid w:val="0"/>
        <w:spacing w:line="600" w:lineRule="exact"/>
        <w:jc w:val="center"/>
        <w:rPr>
          <w:rFonts w:hint="default" w:ascii="方正小标宋简体" w:eastAsia="方正小标宋简体"/>
          <w:sz w:val="44"/>
          <w:lang w:val="en-US" w:eastAsia="zh-CN"/>
        </w:rPr>
      </w:pPr>
      <w:r>
        <w:rPr>
          <w:rFonts w:hint="eastAsia" w:ascii="方正小标宋简体" w:eastAsia="方正小标宋简体"/>
          <w:sz w:val="44"/>
          <w:lang w:eastAsia="zh-CN"/>
        </w:rPr>
        <w:t>（</w:t>
      </w:r>
      <w:r>
        <w:rPr>
          <w:rFonts w:hint="eastAsia" w:ascii="方正小标宋简体" w:eastAsia="方正小标宋简体"/>
          <w:sz w:val="44"/>
          <w:lang w:val="en-US" w:eastAsia="zh-CN"/>
        </w:rPr>
        <w:t>人保财险，中部及东部区域）</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pPr>
      <w:r>
        <w:rPr>
          <w:rFonts w:hint="eastAsia" w:ascii="仿宋_GB2312" w:hAnsi="等线"/>
          <w:szCs w:val="22"/>
        </w:rPr>
        <w:t>为</w:t>
      </w:r>
      <w:r>
        <w:rPr>
          <w:rFonts w:ascii="仿宋_GB2312" w:hAnsi="等线"/>
          <w:szCs w:val="22"/>
        </w:rPr>
        <w:t>充分响应</w:t>
      </w:r>
      <w:r>
        <w:rPr>
          <w:rFonts w:hint="eastAsia" w:ascii="仿宋_GB2312" w:hAnsi="等线"/>
          <w:szCs w:val="22"/>
        </w:rPr>
        <w:t>《北京市知识产权保险试点工作管理办法》的</w:t>
      </w:r>
      <w:r>
        <w:rPr>
          <w:rFonts w:ascii="仿宋_GB2312" w:hAnsi="等线"/>
          <w:szCs w:val="22"/>
        </w:rPr>
        <w:t>要求</w:t>
      </w:r>
      <w:r>
        <w:rPr>
          <w:rFonts w:hint="eastAsia" w:ascii="仿宋_GB2312" w:hAnsi="等线"/>
          <w:szCs w:val="22"/>
        </w:rPr>
        <w:t>，人保</w:t>
      </w:r>
      <w:r>
        <w:rPr>
          <w:rFonts w:ascii="仿宋_GB2312" w:hAnsi="等线"/>
          <w:szCs w:val="22"/>
        </w:rPr>
        <w:t>财险</w:t>
      </w:r>
      <w:r>
        <w:rPr>
          <w:rFonts w:hint="eastAsia" w:ascii="仿宋_GB2312" w:hAnsi="等线"/>
          <w:szCs w:val="22"/>
        </w:rPr>
        <w:t>设计“专利卫士”产品</w:t>
      </w:r>
      <w:r>
        <w:rPr>
          <w:rFonts w:ascii="仿宋_GB2312" w:hAnsi="等线"/>
          <w:szCs w:val="22"/>
        </w:rPr>
        <w:t>，包含</w:t>
      </w:r>
      <w:r>
        <w:rPr>
          <w:rFonts w:hint="eastAsia" w:ascii="仿宋_GB2312" w:hAnsi="等线"/>
          <w:szCs w:val="22"/>
        </w:rPr>
        <w:t>试点</w:t>
      </w:r>
      <w:r>
        <w:rPr>
          <w:rFonts w:ascii="仿宋_GB2312" w:hAnsi="等线"/>
          <w:szCs w:val="22"/>
        </w:rPr>
        <w:t>项目</w:t>
      </w:r>
      <w:r>
        <w:rPr>
          <w:rFonts w:hint="eastAsia" w:ascii="仿宋_GB2312" w:hAnsi="等线"/>
          <w:szCs w:val="22"/>
        </w:rPr>
        <w:t>支持的专利执行保险、专利被侵权损失保险，通过</w:t>
      </w:r>
      <w:r>
        <w:rPr>
          <w:rFonts w:ascii="仿宋_GB2312" w:hAnsi="等线"/>
          <w:szCs w:val="22"/>
        </w:rPr>
        <w:t>金融保险的手段</w:t>
      </w:r>
      <w:r>
        <w:rPr>
          <w:rFonts w:hint="eastAsia" w:ascii="仿宋_GB2312" w:hAnsi="等线"/>
          <w:szCs w:val="22"/>
        </w:rPr>
        <w:t>，保护企业</w:t>
      </w:r>
      <w:r>
        <w:rPr>
          <w:rFonts w:ascii="仿宋_GB2312" w:hAnsi="等线"/>
          <w:szCs w:val="22"/>
        </w:rPr>
        <w:t>知识产权</w:t>
      </w:r>
      <w:r>
        <w:rPr>
          <w:rFonts w:hint="eastAsia" w:ascii="仿宋_GB2312" w:hAnsi="等线"/>
          <w:szCs w:val="22"/>
        </w:rPr>
        <w:t>，支持企业</w:t>
      </w:r>
      <w:r>
        <w:rPr>
          <w:rFonts w:ascii="仿宋_GB2312" w:hAnsi="等线"/>
          <w:szCs w:val="22"/>
        </w:rPr>
        <w:t>科技创新</w:t>
      </w:r>
      <w:r>
        <w:rPr>
          <w:rFonts w:hint="eastAsia" w:ascii="仿宋_GB2312" w:hAnsi="等线"/>
          <w:szCs w:val="22"/>
        </w:rPr>
        <w:t>。</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一</w:t>
      </w:r>
      <w:r>
        <w:rPr>
          <w:rFonts w:ascii="黑体" w:hAnsi="黑体" w:eastAsia="黑体"/>
          <w:szCs w:val="22"/>
        </w:rPr>
        <w:t>、保险产品</w:t>
      </w:r>
    </w:p>
    <w:p>
      <w:pPr>
        <w:adjustRightInd w:val="0"/>
        <w:snapToGrid w:val="0"/>
        <w:ind w:firstLine="640" w:firstLineChars="200"/>
        <w:jc w:val="both"/>
        <w:rPr>
          <w:rFonts w:ascii="仿宋_GB2312" w:hAnsi="等线"/>
          <w:szCs w:val="22"/>
        </w:rPr>
      </w:pPr>
      <w:r>
        <w:rPr>
          <w:rFonts w:hint="eastAsia" w:ascii="仿宋_GB2312" w:hAnsi="等线"/>
          <w:szCs w:val="22"/>
        </w:rPr>
        <w:t>1.专利</w:t>
      </w:r>
      <w:r>
        <w:rPr>
          <w:rFonts w:ascii="仿宋_GB2312" w:hAnsi="等线"/>
          <w:szCs w:val="22"/>
        </w:rPr>
        <w:t>执行保险</w:t>
      </w:r>
      <w:r>
        <w:rPr>
          <w:rFonts w:hint="eastAsia" w:ascii="仿宋_GB2312" w:hAnsi="等线"/>
          <w:szCs w:val="22"/>
        </w:rPr>
        <w:t>是指在投保专利遭受第三方侵权时，赔偿被保险人因正常维权而产生的调查费用、法律费用等的保险。</w:t>
      </w:r>
    </w:p>
    <w:p>
      <w:pPr>
        <w:adjustRightInd w:val="0"/>
        <w:snapToGrid w:val="0"/>
        <w:ind w:firstLine="640" w:firstLineChars="200"/>
        <w:jc w:val="both"/>
        <w:rPr>
          <w:rFonts w:ascii="仿宋_GB2312" w:hAnsi="等线"/>
          <w:szCs w:val="22"/>
        </w:rPr>
      </w:pPr>
      <w:r>
        <w:rPr>
          <w:rFonts w:hint="eastAsia" w:ascii="仿宋_GB2312" w:hAnsi="等线"/>
          <w:szCs w:val="22"/>
        </w:rPr>
        <w:t>2.专利被侵权损失保险是指在投保专利遭受第三方侵权时，赔偿被保险人被侵权直接经济损失的保险。</w:t>
      </w:r>
    </w:p>
    <w:p>
      <w:pPr>
        <w:adjustRightInd w:val="0"/>
        <w:snapToGrid w:val="0"/>
        <w:ind w:firstLine="640" w:firstLineChars="200"/>
        <w:jc w:val="both"/>
        <w:rPr>
          <w:rFonts w:ascii="黑体" w:hAnsi="黑体" w:eastAsia="黑体"/>
          <w:szCs w:val="22"/>
        </w:rPr>
      </w:pPr>
      <w:r>
        <w:rPr>
          <w:rFonts w:hint="eastAsia" w:ascii="黑体" w:hAnsi="黑体" w:eastAsia="黑体"/>
          <w:szCs w:val="22"/>
        </w:rPr>
        <w:t>二</w:t>
      </w:r>
      <w:r>
        <w:rPr>
          <w:rFonts w:ascii="黑体" w:hAnsi="黑体" w:eastAsia="黑体"/>
          <w:szCs w:val="22"/>
        </w:rPr>
        <w:t>、保险责任</w:t>
      </w:r>
      <w:r>
        <w:rPr>
          <w:rFonts w:hint="eastAsia" w:ascii="黑体" w:hAnsi="黑体" w:eastAsia="黑体"/>
          <w:szCs w:val="22"/>
        </w:rPr>
        <w:t>简述</w:t>
      </w:r>
    </w:p>
    <w:p>
      <w:pPr>
        <w:adjustRightInd w:val="0"/>
        <w:snapToGrid w:val="0"/>
        <w:ind w:firstLine="640" w:firstLineChars="200"/>
        <w:jc w:val="both"/>
        <w:rPr>
          <w:rFonts w:ascii="仿宋_GB2312" w:hAnsi="等线"/>
          <w:szCs w:val="22"/>
        </w:rPr>
      </w:pPr>
      <w:r>
        <w:rPr>
          <w:rFonts w:hint="eastAsia" w:ascii="仿宋_GB2312" w:hAnsi="等线"/>
          <w:szCs w:val="22"/>
        </w:rPr>
        <w:t>1.专利执行</w:t>
      </w:r>
      <w:r>
        <w:rPr>
          <w:rFonts w:ascii="仿宋_GB2312" w:hAnsi="等线"/>
          <w:szCs w:val="22"/>
        </w:rPr>
        <w:t>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及追溯期内，第三方首次对投保专利实施侵权，被保险人为获取证据进行调查，并在保险期间内向法院、仲裁机构或管理专利工作的部门提出立案或处理请求，该请求被立案或受理的，对于被保险人在立案或受理前发生的必要、合理的调查费用（调查费、公证费、交通费、食宿费），以及对应由被保险人支付的法律费用（律师费，仲裁、诉讼费或行政处理费），保险人按照合同约定负责赔偿。</w:t>
      </w:r>
    </w:p>
    <w:p>
      <w:pPr>
        <w:adjustRightInd w:val="0"/>
        <w:snapToGrid w:val="0"/>
        <w:ind w:firstLine="640" w:firstLineChars="200"/>
        <w:jc w:val="both"/>
        <w:rPr>
          <w:rFonts w:ascii="仿宋_GB2312" w:hAnsi="等线"/>
          <w:szCs w:val="22"/>
        </w:rPr>
      </w:pPr>
      <w:r>
        <w:rPr>
          <w:rFonts w:hint="eastAsia" w:ascii="仿宋_GB2312" w:hAnsi="等线"/>
          <w:szCs w:val="22"/>
        </w:rPr>
        <w:t>附加证物费用保险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在保险期间内，对于被保险人或其代表购买涉嫌侵权的产品费用，保险人按照本保险合同的约定负责赔偿。</w:t>
      </w:r>
    </w:p>
    <w:p>
      <w:pPr>
        <w:adjustRightInd w:val="0"/>
        <w:snapToGrid w:val="0"/>
        <w:ind w:firstLine="640" w:firstLineChars="200"/>
        <w:jc w:val="both"/>
        <w:rPr>
          <w:rFonts w:ascii="仿宋_GB2312" w:hAnsi="等线"/>
          <w:szCs w:val="22"/>
        </w:rPr>
      </w:pPr>
      <w:r>
        <w:rPr>
          <w:rFonts w:hint="eastAsia" w:ascii="仿宋_GB2312" w:hAnsi="等线"/>
          <w:szCs w:val="22"/>
        </w:rPr>
        <w:t>附加专利无效诉讼费用保险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在保险期间内，被保险人因抗辩侵权人提出专利部分或全部无效所发生的必要的合理的调查费用和法律费用，保险人在保险合同载明的赔偿限额内进行赔偿。</w:t>
      </w:r>
    </w:p>
    <w:p>
      <w:pPr>
        <w:adjustRightInd w:val="0"/>
        <w:snapToGrid w:val="0"/>
        <w:ind w:firstLine="640" w:firstLineChars="200"/>
        <w:jc w:val="both"/>
        <w:rPr>
          <w:rFonts w:ascii="仿宋_GB2312" w:hAnsi="等线"/>
          <w:szCs w:val="22"/>
        </w:rPr>
      </w:pPr>
      <w:r>
        <w:rPr>
          <w:rFonts w:hint="eastAsia" w:ascii="仿宋_GB2312" w:hAnsi="等线"/>
          <w:szCs w:val="22"/>
        </w:rPr>
        <w:t>2.专利被侵权损失保险</w:t>
      </w:r>
    </w:p>
    <w:p>
      <w:pPr>
        <w:adjustRightInd w:val="0"/>
        <w:snapToGrid w:val="0"/>
        <w:ind w:firstLine="640" w:firstLineChars="200"/>
        <w:jc w:val="both"/>
        <w:rPr>
          <w:rFonts w:ascii="仿宋_GB2312" w:hAnsi="等线"/>
          <w:szCs w:val="22"/>
        </w:rPr>
      </w:pPr>
      <w:r>
        <w:rPr>
          <w:rFonts w:hint="eastAsia" w:ascii="仿宋_GB2312" w:hAnsi="等线"/>
          <w:szCs w:val="22"/>
        </w:rPr>
        <w:t>在保险期间或保险合同约定的追溯期内，第三方未经被保险人许可，实施本保险单列明的专利，导致被保险人的经济损失，被保险人在保险期间内向保险人索赔的，保险人按照本保险合同约定负责赔偿。</w:t>
      </w:r>
    </w:p>
    <w:p>
      <w:pPr>
        <w:adjustRightInd w:val="0"/>
        <w:snapToGrid w:val="0"/>
        <w:ind w:firstLine="640" w:firstLineChars="200"/>
        <w:jc w:val="both"/>
        <w:rPr>
          <w:rFonts w:ascii="黑体" w:hAnsi="黑体" w:eastAsia="黑体"/>
          <w:szCs w:val="22"/>
        </w:rPr>
      </w:pPr>
      <w:r>
        <w:rPr>
          <w:rFonts w:hint="eastAsia" w:ascii="黑体" w:hAnsi="黑体" w:eastAsia="黑体"/>
          <w:szCs w:val="22"/>
        </w:rPr>
        <w:t>三</w:t>
      </w:r>
      <w:r>
        <w:rPr>
          <w:rFonts w:ascii="黑体" w:hAnsi="黑体" w:eastAsia="黑体"/>
          <w:szCs w:val="22"/>
        </w:rPr>
        <w:t>、保险</w:t>
      </w:r>
      <w:r>
        <w:rPr>
          <w:rFonts w:hint="eastAsia" w:ascii="黑体" w:hAnsi="黑体" w:eastAsia="黑体"/>
          <w:szCs w:val="22"/>
        </w:rPr>
        <w:t>方案</w:t>
      </w:r>
    </w:p>
    <w:p>
      <w:pPr>
        <w:adjustRightInd w:val="0"/>
        <w:snapToGrid w:val="0"/>
        <w:ind w:firstLine="640" w:firstLineChars="200"/>
        <w:jc w:val="both"/>
        <w:rPr>
          <w:rFonts w:ascii="仿宋_GB2312" w:hAnsi="等线"/>
          <w:szCs w:val="22"/>
        </w:rPr>
      </w:pPr>
      <w:r>
        <w:rPr>
          <w:rFonts w:hint="eastAsia" w:ascii="仿宋_GB2312" w:hAnsi="等线"/>
          <w:szCs w:val="22"/>
        </w:rPr>
        <w:t>为满足试点政策要求，我公司设计“专利卫士”专属保险产品，根据试点对象的不同企业类型，定制“冠军专利卫士”和“小微专利卫士”保险方案，适当提高保险限额、</w:t>
      </w:r>
      <w:r>
        <w:rPr>
          <w:rFonts w:hint="eastAsia" w:ascii="仿宋_GB2312" w:hAnsi="等线"/>
          <w:szCs w:val="22"/>
          <w:lang w:val="en-US" w:eastAsia="zh-CN"/>
        </w:rPr>
        <w:t>丰富</w:t>
      </w:r>
      <w:r>
        <w:rPr>
          <w:rFonts w:hint="eastAsia" w:ascii="仿宋_GB2312" w:hAnsi="等线"/>
          <w:szCs w:val="22"/>
        </w:rPr>
        <w:t>保险责任，同时搭配专属增值服务，帮助企业降低维权成本，提高知识产权运营管理能力。</w:t>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hint="eastAsia"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单项冠军</w:t>
      </w:r>
      <w:r>
        <w:rPr>
          <w:rFonts w:ascii="仿宋_GB2312" w:hAnsi="等线"/>
          <w:szCs w:val="22"/>
        </w:rPr>
        <w:t>企业方案：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rPr>
          <w:trHeight w:val="454" w:hRule="exact"/>
          <w:jc w:val="center"/>
        </w:trPr>
        <w:tc>
          <w:tcPr>
            <w:tcW w:w="8296" w:type="dxa"/>
            <w:gridSpan w:val="2"/>
            <w:vAlign w:val="center"/>
          </w:tcPr>
          <w:p>
            <w:pPr>
              <w:pStyle w:val="3"/>
              <w:tabs>
                <w:tab w:val="left" w:pos="1560"/>
                <w:tab w:val="left" w:pos="7616"/>
              </w:tabs>
              <w:snapToGrid w:val="0"/>
              <w:spacing w:before="0" w:line="240" w:lineRule="atLeast"/>
              <w:jc w:val="center"/>
              <w:rPr>
                <w:rFonts w:ascii="仿宋" w:hAnsi="仿宋" w:eastAsia="仿宋"/>
                <w:b/>
                <w:bCs/>
                <w:highlight w:val="none"/>
              </w:rPr>
            </w:pPr>
            <w:r>
              <w:rPr>
                <w:rFonts w:hint="eastAsia" w:ascii="仿宋" w:hAnsi="仿宋" w:eastAsia="仿宋"/>
                <w:b/>
                <w:bCs/>
                <w:highlight w:val="none"/>
              </w:rPr>
              <w:t>“冠军专利卫士”保险方案</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保险责任</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累计赔偿限额（万元）</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调查费用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法律费用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直接损失</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2</w:t>
            </w:r>
            <w:r>
              <w:rPr>
                <w:rFonts w:ascii="仿宋" w:hAnsi="仿宋" w:eastAsia="仿宋"/>
                <w:highlight w:val="none"/>
              </w:rPr>
              <w:t>00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证物费用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2</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专利无效诉讼费用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免赔</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保险期限</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一年</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保险费（万元）</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2</w:t>
            </w:r>
            <w:r>
              <w:rPr>
                <w:rFonts w:ascii="仿宋" w:hAnsi="仿宋" w:eastAsia="仿宋"/>
                <w:highlight w:val="none"/>
              </w:rPr>
              <w:t>.5</w:t>
            </w:r>
          </w:p>
        </w:tc>
      </w:tr>
    </w:tbl>
    <w:p>
      <w:pPr>
        <w:adjustRightInd w:val="0"/>
        <w:snapToGrid w:val="0"/>
        <w:ind w:firstLine="640" w:firstLineChars="200"/>
        <w:jc w:val="both"/>
        <w:rPr>
          <w:rFonts w:hint="eastAsia"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重点领域</w:t>
      </w:r>
      <w:r>
        <w:rPr>
          <w:rFonts w:ascii="仿宋_GB2312" w:hAnsi="等线"/>
          <w:szCs w:val="22"/>
        </w:rPr>
        <w:t>中小微企业方案：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rPr>
          <w:trHeight w:val="454" w:hRule="exact"/>
          <w:jc w:val="center"/>
        </w:trPr>
        <w:tc>
          <w:tcPr>
            <w:tcW w:w="8296" w:type="dxa"/>
            <w:gridSpan w:val="2"/>
            <w:vAlign w:val="center"/>
          </w:tcPr>
          <w:p>
            <w:pPr>
              <w:pStyle w:val="3"/>
              <w:tabs>
                <w:tab w:val="left" w:pos="1560"/>
                <w:tab w:val="left" w:pos="7616"/>
              </w:tabs>
              <w:snapToGrid w:val="0"/>
              <w:spacing w:before="0" w:line="240" w:lineRule="atLeast"/>
              <w:jc w:val="center"/>
              <w:rPr>
                <w:rFonts w:ascii="仿宋" w:hAnsi="仿宋" w:eastAsia="仿宋"/>
                <w:b/>
                <w:bCs/>
                <w:highlight w:val="none"/>
              </w:rPr>
            </w:pPr>
            <w:r>
              <w:rPr>
                <w:rFonts w:hint="eastAsia" w:ascii="仿宋" w:hAnsi="仿宋" w:eastAsia="仿宋"/>
                <w:b/>
                <w:bCs/>
                <w:highlight w:val="none"/>
              </w:rPr>
              <w:t>“小微专利卫士”保险方案</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保险责任</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累计赔偿限额（万元）</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调查费用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法律费用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3</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直接损失</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ascii="仿宋" w:hAnsi="仿宋" w:eastAsia="仿宋"/>
                <w:highlight w:val="none"/>
              </w:rPr>
              <w:t>50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证物费用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1</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专利无效诉讼费用</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2</w:t>
            </w:r>
            <w:r>
              <w:rPr>
                <w:rFonts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免赔</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0</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保险期限</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三年</w:t>
            </w:r>
          </w:p>
        </w:tc>
      </w:tr>
      <w:tr>
        <w:trPr>
          <w:trHeight w:val="454" w:hRule="exact"/>
          <w:jc w:val="center"/>
        </w:trPr>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hint="eastAsia" w:ascii="仿宋" w:hAnsi="仿宋" w:eastAsia="仿宋"/>
                <w:highlight w:val="none"/>
              </w:rPr>
              <w:t>保险费（万元）</w:t>
            </w:r>
          </w:p>
        </w:tc>
        <w:tc>
          <w:tcPr>
            <w:tcW w:w="4148" w:type="dxa"/>
            <w:vAlign w:val="center"/>
          </w:tcPr>
          <w:p>
            <w:pPr>
              <w:pStyle w:val="3"/>
              <w:tabs>
                <w:tab w:val="left" w:pos="1560"/>
                <w:tab w:val="left" w:pos="7616"/>
              </w:tabs>
              <w:snapToGrid w:val="0"/>
              <w:spacing w:before="0" w:line="240" w:lineRule="atLeast"/>
              <w:jc w:val="center"/>
              <w:rPr>
                <w:rFonts w:ascii="仿宋" w:hAnsi="仿宋" w:eastAsia="仿宋"/>
                <w:highlight w:val="none"/>
              </w:rPr>
            </w:pPr>
            <w:r>
              <w:rPr>
                <w:rFonts w:ascii="仿宋" w:hAnsi="仿宋" w:eastAsia="仿宋"/>
                <w:highlight w:val="none"/>
              </w:rPr>
              <w:t>1</w:t>
            </w:r>
          </w:p>
        </w:tc>
      </w:tr>
    </w:tbl>
    <w:p>
      <w:pPr>
        <w:adjustRightInd w:val="0"/>
        <w:snapToGrid w:val="0"/>
        <w:ind w:firstLine="640" w:firstLineChars="200"/>
        <w:jc w:val="both"/>
        <w:rPr>
          <w:rFonts w:hint="eastAsia" w:ascii="黑体" w:hAnsi="黑体" w:eastAsia="黑体"/>
          <w:szCs w:val="22"/>
        </w:rPr>
      </w:pPr>
    </w:p>
    <w:p>
      <w:pPr>
        <w:adjustRightInd w:val="0"/>
        <w:snapToGrid w:val="0"/>
        <w:ind w:firstLine="640" w:firstLineChars="200"/>
        <w:jc w:val="both"/>
        <w:rPr>
          <w:rFonts w:hint="eastAsia" w:ascii="黑体" w:hAnsi="黑体" w:eastAsia="黑体"/>
          <w:szCs w:val="22"/>
        </w:rPr>
      </w:pPr>
    </w:p>
    <w:p>
      <w:pPr>
        <w:adjustRightInd w:val="0"/>
        <w:snapToGrid w:val="0"/>
        <w:ind w:firstLine="640" w:firstLineChars="200"/>
        <w:jc w:val="both"/>
        <w:rPr>
          <w:rFonts w:ascii="黑体" w:hAnsi="黑体" w:eastAsia="黑体"/>
          <w:szCs w:val="22"/>
        </w:rPr>
      </w:pPr>
      <w:r>
        <w:rPr>
          <w:rFonts w:hint="eastAsia" w:ascii="黑体" w:hAnsi="黑体" w:eastAsia="黑体"/>
          <w:szCs w:val="22"/>
        </w:rPr>
        <w:t>四</w:t>
      </w:r>
      <w:r>
        <w:rPr>
          <w:rFonts w:ascii="黑体" w:hAnsi="黑体" w:eastAsia="黑体"/>
          <w:szCs w:val="22"/>
        </w:rPr>
        <w:t>、</w:t>
      </w:r>
      <w:r>
        <w:rPr>
          <w:rFonts w:hint="eastAsia" w:ascii="黑体" w:hAnsi="黑体" w:eastAsia="黑体"/>
          <w:szCs w:val="22"/>
        </w:rPr>
        <w:t>理赔流程</w:t>
      </w:r>
    </w:p>
    <w:p>
      <w:pPr>
        <w:adjustRightInd w:val="0"/>
        <w:snapToGrid w:val="0"/>
        <w:ind w:firstLine="640" w:firstLineChars="200"/>
        <w:jc w:val="both"/>
        <w:rPr>
          <w:rFonts w:ascii="仿宋_GB2312" w:hAnsi="等线"/>
          <w:szCs w:val="22"/>
        </w:rPr>
      </w:pPr>
      <w:r>
        <w:drawing>
          <wp:anchor distT="0" distB="0" distL="114300" distR="114300" simplePos="0" relativeHeight="251659264" behindDoc="1" locked="0" layoutInCell="1" allowOverlap="1">
            <wp:simplePos x="0" y="0"/>
            <wp:positionH relativeFrom="column">
              <wp:posOffset>89535</wp:posOffset>
            </wp:positionH>
            <wp:positionV relativeFrom="paragraph">
              <wp:posOffset>257810</wp:posOffset>
            </wp:positionV>
            <wp:extent cx="5615305" cy="2546350"/>
            <wp:effectExtent l="0" t="0" r="8255"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5305" cy="2546350"/>
                    </a:xfrm>
                    <a:prstGeom prst="rect">
                      <a:avLst/>
                    </a:prstGeom>
                    <a:noFill/>
                    <a:ln>
                      <a:noFill/>
                    </a:ln>
                  </pic:spPr>
                </pic:pic>
              </a:graphicData>
            </a:graphic>
          </wp:anchor>
        </w:drawing>
      </w: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p>
    <w:p>
      <w:pPr>
        <w:adjustRightInd w:val="0"/>
        <w:snapToGrid w:val="0"/>
        <w:ind w:firstLine="640" w:firstLineChars="200"/>
        <w:jc w:val="both"/>
        <w:rPr>
          <w:rFonts w:ascii="仿宋_GB2312" w:hAnsi="等线"/>
          <w:szCs w:val="22"/>
        </w:rPr>
      </w:pPr>
    </w:p>
    <w:p>
      <w:pPr>
        <w:adjustRightInd w:val="0"/>
        <w:snapToGrid w:val="0"/>
        <w:jc w:val="both"/>
        <w:rPr>
          <w:rFonts w:ascii="仿宋_GB2312" w:hAnsi="等线"/>
          <w:szCs w:val="22"/>
        </w:rPr>
      </w:pPr>
    </w:p>
    <w:p>
      <w:pPr>
        <w:adjustRightInd w:val="0"/>
        <w:snapToGrid w:val="0"/>
        <w:ind w:firstLine="640" w:firstLineChars="200"/>
        <w:jc w:val="both"/>
        <w:rPr>
          <w:rFonts w:hint="eastAsia" w:ascii="仿宋_GB2312" w:hAnsi="等线"/>
          <w:szCs w:val="22"/>
        </w:rPr>
      </w:pPr>
    </w:p>
    <w:p>
      <w:pPr>
        <w:adjustRightInd w:val="0"/>
        <w:snapToGrid w:val="0"/>
        <w:ind w:firstLine="640" w:firstLineChars="200"/>
        <w:jc w:val="both"/>
        <w:rPr>
          <w:rFonts w:hint="eastAsia" w:ascii="仿宋_GB2312" w:hAnsi="等线"/>
          <w:szCs w:val="22"/>
        </w:rPr>
      </w:pPr>
    </w:p>
    <w:p>
      <w:pPr>
        <w:adjustRightInd w:val="0"/>
        <w:snapToGrid w:val="0"/>
        <w:ind w:firstLine="640" w:firstLineChars="200"/>
        <w:jc w:val="both"/>
        <w:rPr>
          <w:rFonts w:hint="eastAsia" w:ascii="仿宋_GB2312" w:hAnsi="等线"/>
          <w:szCs w:val="22"/>
        </w:rPr>
      </w:pPr>
    </w:p>
    <w:p>
      <w:pPr>
        <w:adjustRightInd w:val="0"/>
        <w:snapToGrid w:val="0"/>
        <w:ind w:firstLine="640" w:firstLineChars="200"/>
        <w:jc w:val="both"/>
        <w:rPr>
          <w:rFonts w:ascii="仿宋_GB2312" w:hAnsi="等线"/>
          <w:szCs w:val="22"/>
        </w:rPr>
      </w:pPr>
      <w:r>
        <w:rPr>
          <w:rFonts w:hint="eastAsia" w:ascii="仿宋_GB2312" w:hAnsi="等线"/>
          <w:szCs w:val="22"/>
        </w:rPr>
        <w:t>（1）出险报案</w:t>
      </w:r>
    </w:p>
    <w:p>
      <w:pPr>
        <w:adjustRightInd w:val="0"/>
        <w:snapToGrid w:val="0"/>
        <w:ind w:firstLine="640" w:firstLineChars="200"/>
        <w:jc w:val="both"/>
        <w:rPr>
          <w:rFonts w:ascii="仿宋_GB2312" w:hAnsi="等线"/>
          <w:szCs w:val="22"/>
        </w:rPr>
      </w:pPr>
      <w:r>
        <w:rPr>
          <w:rFonts w:hint="eastAsia" w:ascii="仿宋_GB2312" w:hAnsi="等线"/>
          <w:szCs w:val="22"/>
        </w:rPr>
        <w:t>企业在获知专利被侵权后，应及时向95518或项目小组专员进行报案。</w:t>
      </w:r>
    </w:p>
    <w:p>
      <w:pPr>
        <w:adjustRightInd w:val="0"/>
        <w:snapToGrid w:val="0"/>
        <w:ind w:firstLine="640" w:firstLineChars="200"/>
        <w:jc w:val="both"/>
        <w:rPr>
          <w:rFonts w:ascii="仿宋_GB2312" w:hAnsi="等线"/>
          <w:szCs w:val="22"/>
        </w:rPr>
      </w:pPr>
      <w:r>
        <w:rPr>
          <w:rFonts w:hint="eastAsia" w:ascii="仿宋_GB2312" w:hAnsi="等线"/>
          <w:szCs w:val="22"/>
        </w:rPr>
        <w:t>（2）接案分析</w:t>
      </w:r>
    </w:p>
    <w:p>
      <w:pPr>
        <w:adjustRightInd w:val="0"/>
        <w:snapToGrid w:val="0"/>
        <w:ind w:firstLine="640" w:firstLineChars="200"/>
        <w:jc w:val="both"/>
        <w:rPr>
          <w:rFonts w:ascii="仿宋_GB2312" w:hAnsi="等线"/>
          <w:szCs w:val="22"/>
        </w:rPr>
      </w:pPr>
      <w:r>
        <w:rPr>
          <w:rFonts w:hint="eastAsia" w:ascii="仿宋_GB2312" w:hAnsi="等线"/>
          <w:szCs w:val="22"/>
        </w:rPr>
        <w:t>接到报案后，保险人将委托知识产权专业机构对专利是否稳定及是否存在被侵权等情况进行综合分析。</w:t>
      </w:r>
    </w:p>
    <w:p>
      <w:pPr>
        <w:adjustRightInd w:val="0"/>
        <w:snapToGrid w:val="0"/>
        <w:ind w:firstLine="640" w:firstLineChars="200"/>
        <w:jc w:val="both"/>
        <w:rPr>
          <w:rFonts w:ascii="仿宋_GB2312" w:hAnsi="等线"/>
          <w:szCs w:val="22"/>
        </w:rPr>
      </w:pPr>
      <w:r>
        <w:rPr>
          <w:rFonts w:hint="eastAsia" w:ascii="仿宋_GB2312" w:hAnsi="等线"/>
          <w:szCs w:val="22"/>
        </w:rPr>
        <w:t>（3）诉讼建议</w:t>
      </w:r>
    </w:p>
    <w:p>
      <w:pPr>
        <w:adjustRightInd w:val="0"/>
        <w:snapToGrid w:val="0"/>
        <w:ind w:firstLine="640" w:firstLineChars="200"/>
        <w:jc w:val="both"/>
        <w:rPr>
          <w:rFonts w:ascii="仿宋_GB2312" w:hAnsi="等线"/>
          <w:szCs w:val="22"/>
        </w:rPr>
      </w:pPr>
      <w:r>
        <w:rPr>
          <w:rFonts w:hint="eastAsia" w:ascii="仿宋_GB2312" w:hAnsi="等线"/>
          <w:szCs w:val="22"/>
        </w:rPr>
        <w:t>在对涉案专利是否稳定及是否存在被侵权情况进行分析后，保险人将根据专业评估结果给予企业维权策略建议，如稳定性不佳或不存在侵权等情况则建议企业取消诉讼采取其他维权策略；如侵权行为明确则建议企业诉讼维权。</w:t>
      </w:r>
    </w:p>
    <w:p>
      <w:pPr>
        <w:adjustRightInd w:val="0"/>
        <w:snapToGrid w:val="0"/>
        <w:ind w:firstLine="640" w:firstLineChars="200"/>
        <w:jc w:val="both"/>
        <w:rPr>
          <w:rFonts w:ascii="仿宋_GB2312" w:hAnsi="等线"/>
          <w:szCs w:val="22"/>
        </w:rPr>
      </w:pPr>
      <w:r>
        <w:rPr>
          <w:rFonts w:hint="eastAsia" w:ascii="仿宋_GB2312" w:hAnsi="等线"/>
          <w:szCs w:val="22"/>
        </w:rPr>
        <w:t>（4）提供律师服务</w:t>
      </w:r>
    </w:p>
    <w:p>
      <w:pPr>
        <w:adjustRightInd w:val="0"/>
        <w:snapToGrid w:val="0"/>
        <w:ind w:firstLine="640" w:firstLineChars="200"/>
        <w:jc w:val="both"/>
        <w:rPr>
          <w:rFonts w:ascii="仿宋_GB2312" w:hAnsi="等线"/>
          <w:szCs w:val="22"/>
        </w:rPr>
      </w:pPr>
      <w:r>
        <w:rPr>
          <w:rFonts w:hint="eastAsia" w:ascii="仿宋_GB2312" w:hAnsi="等线"/>
          <w:szCs w:val="22"/>
        </w:rPr>
        <w:t>在确定诉讼维权后，保险人提供专业知识产权律师，为企业进行专利维权法律咨询，并代理专利维权的仲裁及诉讼服务。律师费由保险公司赔付。</w:t>
      </w:r>
    </w:p>
    <w:p>
      <w:pPr>
        <w:adjustRightInd w:val="0"/>
        <w:snapToGrid w:val="0"/>
        <w:ind w:firstLine="640" w:firstLineChars="200"/>
        <w:jc w:val="both"/>
        <w:rPr>
          <w:rFonts w:ascii="仿宋_GB2312" w:hAnsi="等线"/>
          <w:szCs w:val="22"/>
        </w:rPr>
      </w:pPr>
      <w:r>
        <w:rPr>
          <w:rFonts w:hint="eastAsia" w:ascii="仿宋_GB2312" w:hAnsi="等线"/>
          <w:szCs w:val="22"/>
        </w:rPr>
        <w:t>若企业不使用保险公司提供的律师，而自行委托律师，则律师费用由企业自行承担，且保险人不再赔付。</w:t>
      </w:r>
    </w:p>
    <w:p>
      <w:pPr>
        <w:adjustRightInd w:val="0"/>
        <w:snapToGrid w:val="0"/>
        <w:ind w:firstLine="640" w:firstLineChars="200"/>
        <w:jc w:val="both"/>
        <w:rPr>
          <w:rFonts w:ascii="仿宋_GB2312" w:hAnsi="等线"/>
          <w:szCs w:val="22"/>
        </w:rPr>
      </w:pPr>
      <w:r>
        <w:rPr>
          <w:rFonts w:hint="eastAsia" w:ascii="仿宋_GB2312" w:hAnsi="等线"/>
          <w:szCs w:val="22"/>
        </w:rPr>
        <w:t>（5）调查费用赔付</w:t>
      </w:r>
    </w:p>
    <w:p>
      <w:pPr>
        <w:adjustRightInd w:val="0"/>
        <w:snapToGrid w:val="0"/>
        <w:ind w:firstLine="640" w:firstLineChars="200"/>
        <w:jc w:val="both"/>
        <w:rPr>
          <w:rFonts w:ascii="仿宋_GB2312" w:hAnsi="等线"/>
          <w:szCs w:val="22"/>
        </w:rPr>
      </w:pPr>
      <w:r>
        <w:rPr>
          <w:rFonts w:hint="eastAsia" w:ascii="仿宋_GB2312" w:hAnsi="等线"/>
          <w:szCs w:val="22"/>
        </w:rPr>
        <w:t>在企业进行诉讼、仲裁等立案后，保险人按照保险合同约定对案件所需要的必要的、合理的调查费用进行赔付。</w:t>
      </w:r>
    </w:p>
    <w:p>
      <w:pPr>
        <w:adjustRightInd w:val="0"/>
        <w:snapToGrid w:val="0"/>
        <w:ind w:firstLine="640" w:firstLineChars="200"/>
        <w:jc w:val="both"/>
        <w:rPr>
          <w:rFonts w:ascii="仿宋_GB2312" w:hAnsi="等线"/>
          <w:szCs w:val="22"/>
        </w:rPr>
      </w:pPr>
      <w:r>
        <w:rPr>
          <w:rFonts w:hint="eastAsia" w:ascii="仿宋_GB2312" w:hAnsi="等线"/>
          <w:szCs w:val="22"/>
        </w:rPr>
        <w:t>（6）无效费用赔付</w:t>
      </w:r>
    </w:p>
    <w:p>
      <w:pPr>
        <w:adjustRightInd w:val="0"/>
        <w:snapToGrid w:val="0"/>
        <w:ind w:firstLine="640" w:firstLineChars="200"/>
        <w:jc w:val="both"/>
        <w:rPr>
          <w:rFonts w:ascii="仿宋_GB2312" w:hAnsi="等线"/>
          <w:szCs w:val="22"/>
        </w:rPr>
      </w:pPr>
      <w:r>
        <w:rPr>
          <w:rFonts w:hint="eastAsia" w:ascii="仿宋_GB2312" w:hAnsi="等线"/>
          <w:szCs w:val="22"/>
        </w:rPr>
        <w:t>若在维权过程中被侵权方申请无效，保险人按照保险合同约定对专利无效调查费用、法律费用进行赔偿。</w:t>
      </w:r>
    </w:p>
    <w:p>
      <w:pPr>
        <w:adjustRightInd w:val="0"/>
        <w:snapToGrid w:val="0"/>
        <w:ind w:firstLine="640" w:firstLineChars="200"/>
        <w:jc w:val="both"/>
        <w:rPr>
          <w:rFonts w:ascii="仿宋_GB2312" w:hAnsi="等线"/>
          <w:szCs w:val="22"/>
        </w:rPr>
      </w:pPr>
      <w:r>
        <w:rPr>
          <w:rFonts w:hint="eastAsia" w:ascii="仿宋_GB2312" w:hAnsi="等线"/>
          <w:szCs w:val="22"/>
        </w:rPr>
        <w:t>（7）被侵权损害赔付</w:t>
      </w:r>
    </w:p>
    <w:p>
      <w:pPr>
        <w:adjustRightInd w:val="0"/>
        <w:snapToGrid w:val="0"/>
        <w:ind w:firstLine="640" w:firstLineChars="200"/>
        <w:jc w:val="both"/>
        <w:rPr>
          <w:rFonts w:ascii="仿宋_GB2312" w:hAnsi="等线"/>
          <w:szCs w:val="22"/>
        </w:rPr>
      </w:pPr>
      <w:r>
        <w:rPr>
          <w:rFonts w:hint="eastAsia" w:ascii="仿宋_GB2312" w:hAnsi="等线"/>
          <w:szCs w:val="22"/>
        </w:rPr>
        <w:t>企业进行诉讼后，若被侵权行为成立并由政府相关部门或司法机关确定损失金额，保险人可根据保险合同约定先行赔付，赔付后对侵权方代位追偿。</w:t>
      </w:r>
    </w:p>
    <w:p>
      <w:pPr>
        <w:widowControl w:val="0"/>
        <w:adjustRightInd w:val="0"/>
        <w:snapToGrid w:val="0"/>
        <w:ind w:firstLine="640" w:firstLineChars="200"/>
        <w:jc w:val="both"/>
        <w:rPr>
          <w:rFonts w:ascii="黑体" w:hAnsi="黑体" w:eastAsia="黑体"/>
          <w:szCs w:val="22"/>
        </w:rPr>
      </w:pPr>
      <w:r>
        <w:rPr>
          <w:rFonts w:hint="eastAsia" w:ascii="黑体" w:hAnsi="黑体" w:eastAsia="黑体"/>
          <w:szCs w:val="22"/>
        </w:rPr>
        <w:t>五</w:t>
      </w:r>
      <w:r>
        <w:rPr>
          <w:rFonts w:ascii="黑体" w:hAnsi="黑体" w:eastAsia="黑体"/>
          <w:szCs w:val="22"/>
        </w:rPr>
        <w:t>、咨询方式</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联系人：刘倩（产品咨询联系人）</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联系电话：13910908044      </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电子邮箱：liuqian09@beij.picc.com.cn</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联系人：肖皓天（产品咨询联系人）</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联系电话：13488780257      </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电子邮箱：xiaohaotian@beij.picc.com.cn</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联系人：王潇然（系统问题联系人）</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联系电话：13911819793</w:t>
      </w:r>
    </w:p>
    <w:p>
      <w:pPr>
        <w:adjustRightInd w:val="0"/>
        <w:snapToGrid w:val="0"/>
        <w:ind w:firstLine="640" w:firstLineChars="200"/>
        <w:jc w:val="both"/>
        <w:rPr>
          <w:rFonts w:hint="eastAsia" w:ascii="仿宋_GB2312" w:hAnsi="等线" w:cs="Times New Roman"/>
          <w:szCs w:val="22"/>
        </w:rPr>
      </w:pPr>
      <w:r>
        <w:rPr>
          <w:rFonts w:hint="eastAsia" w:ascii="仿宋_GB2312" w:hAnsi="等线" w:cs="Times New Roman"/>
          <w:szCs w:val="22"/>
        </w:rPr>
        <w:t>电子邮箱：wangxiaoran01@beij.picc.com.cn</w:t>
      </w:r>
    </w:p>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BF"/>
    <w:rsid w:val="00206180"/>
    <w:rsid w:val="00A246BF"/>
    <w:rsid w:val="00BA49A9"/>
    <w:rsid w:val="1C245F5E"/>
    <w:rsid w:val="489D06D6"/>
    <w:rsid w:val="5BDE44F8"/>
    <w:rsid w:val="9E7B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仿宋_GB2312" w:cs="Times New Roman"/>
      <w:kern w:val="2"/>
      <w:sz w:val="32"/>
      <w:szCs w:val="4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adjustRightInd w:val="0"/>
      <w:snapToGrid w:val="0"/>
      <w:spacing w:line="480" w:lineRule="auto"/>
      <w:jc w:val="left"/>
    </w:pPr>
    <w:rPr>
      <w:rFonts w:eastAsia="仿宋"/>
      <w:sz w:val="24"/>
      <w:szCs w:val="22"/>
    </w:rPr>
  </w:style>
  <w:style w:type="paragraph" w:styleId="3">
    <w:name w:val="Body Text"/>
    <w:basedOn w:val="1"/>
    <w:qFormat/>
    <w:uiPriority w:val="0"/>
    <w:pPr>
      <w:tabs>
        <w:tab w:val="left" w:pos="567"/>
      </w:tabs>
      <w:spacing w:before="120" w:line="22" w:lineRule="atLeast"/>
    </w:pPr>
    <w:rPr>
      <w:rFonts w:ascii="宋体" w:hAnsi="宋体"/>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qFormat/>
    <w:uiPriority w:val="39"/>
    <w:rPr>
      <w:rFonts w:ascii="Times New Roman" w:hAnsi="Times New Roman" w:eastAsia="仿宋_GB2312" w:cs="Times New Roman"/>
      <w:sz w:val="32"/>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Words>
  <Characters>1511</Characters>
  <Lines>12</Lines>
  <Paragraphs>3</Paragraphs>
  <TotalTime>1</TotalTime>
  <ScaleCrop>false</ScaleCrop>
  <LinksUpToDate>false</LinksUpToDate>
  <CharactersWithSpaces>1773</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2021-05-25T01:36:00Z</dcterms:created>
  <dc:creator>fanay</dc:creator>
  <cp:lastModifiedBy>WPS_1652845608</cp:lastModifiedBy>
  <dcterms:modified xsi:type="dcterms:W3CDTF">2022-06-02T21:39:33Z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818F041E6A0E3B88D0BC98629F1F4184</vt:lpwstr>
  </property>
</Properties>
</file>