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1A2A" w14:textId="77777777" w:rsidR="00A246BF" w:rsidRDefault="00A246BF" w:rsidP="00A246BF">
      <w:pPr>
        <w:spacing w:line="520" w:lineRule="exact"/>
        <w:rPr>
          <w:rFonts w:ascii="黑体" w:eastAsia="黑体" w:hAnsi="黑体"/>
        </w:rPr>
      </w:pPr>
      <w:r w:rsidRPr="00C7324B">
        <w:rPr>
          <w:rFonts w:ascii="黑体" w:eastAsia="黑体" w:hAnsi="黑体" w:hint="eastAsia"/>
        </w:rPr>
        <w:t>附件3</w:t>
      </w:r>
    </w:p>
    <w:p w14:paraId="32788D0F" w14:textId="77777777" w:rsidR="00A246BF" w:rsidRPr="00C7324B" w:rsidRDefault="00A246BF" w:rsidP="00A246BF">
      <w:pPr>
        <w:adjustRightInd w:val="0"/>
        <w:snapToGrid w:val="0"/>
        <w:jc w:val="both"/>
        <w:rPr>
          <w:rFonts w:ascii="黑体" w:eastAsia="黑体" w:hAnsi="黑体"/>
        </w:rPr>
      </w:pPr>
    </w:p>
    <w:p w14:paraId="55C83D15" w14:textId="77777777" w:rsidR="00A246BF" w:rsidRPr="00C3220F" w:rsidRDefault="00A246BF" w:rsidP="00A246BF">
      <w:pPr>
        <w:adjustRightInd w:val="0"/>
        <w:snapToGrid w:val="0"/>
        <w:spacing w:line="600" w:lineRule="exact"/>
        <w:jc w:val="center"/>
        <w:rPr>
          <w:rFonts w:ascii="方正小标宋简体" w:eastAsia="方正小标宋简体"/>
          <w:sz w:val="44"/>
        </w:rPr>
      </w:pPr>
      <w:r w:rsidRPr="00C7324B">
        <w:rPr>
          <w:rFonts w:ascii="方正小标宋简体" w:eastAsia="方正小标宋简体" w:hint="eastAsia"/>
          <w:sz w:val="44"/>
        </w:rPr>
        <w:t>202</w:t>
      </w:r>
      <w:r>
        <w:rPr>
          <w:rFonts w:ascii="方正小标宋简体" w:eastAsia="方正小标宋简体"/>
          <w:sz w:val="44"/>
        </w:rPr>
        <w:t>1</w:t>
      </w:r>
      <w:r w:rsidRPr="00C7324B">
        <w:rPr>
          <w:rFonts w:ascii="方正小标宋简体" w:eastAsia="方正小标宋简体" w:hint="eastAsia"/>
          <w:sz w:val="44"/>
        </w:rPr>
        <w:t>年北京市知识产权保险试点产品介绍</w:t>
      </w:r>
    </w:p>
    <w:p w14:paraId="7DDC3727" w14:textId="77777777" w:rsidR="00A246BF" w:rsidRDefault="00A246BF" w:rsidP="00A246BF">
      <w:pPr>
        <w:adjustRightInd w:val="0"/>
        <w:snapToGrid w:val="0"/>
        <w:ind w:firstLineChars="200" w:firstLine="640"/>
        <w:jc w:val="both"/>
        <w:rPr>
          <w:rFonts w:ascii="仿宋_GB2312" w:hAnsi="等线"/>
          <w:szCs w:val="22"/>
        </w:rPr>
      </w:pPr>
    </w:p>
    <w:p w14:paraId="043CBBEC" w14:textId="77777777" w:rsidR="00A246BF" w:rsidRPr="002251C4" w:rsidRDefault="00A246BF" w:rsidP="00A246BF">
      <w:pPr>
        <w:adjustRightInd w:val="0"/>
        <w:snapToGrid w:val="0"/>
        <w:ind w:firstLineChars="200" w:firstLine="640"/>
        <w:jc w:val="both"/>
      </w:pPr>
      <w:r w:rsidRPr="002251C4">
        <w:rPr>
          <w:rFonts w:ascii="仿宋_GB2312" w:hAnsi="等线" w:hint="eastAsia"/>
          <w:szCs w:val="22"/>
        </w:rPr>
        <w:t>为</w:t>
      </w:r>
      <w:r w:rsidRPr="002251C4">
        <w:rPr>
          <w:rFonts w:ascii="仿宋_GB2312" w:hAnsi="等线"/>
          <w:szCs w:val="22"/>
        </w:rPr>
        <w:t>充分响应</w:t>
      </w:r>
      <w:r w:rsidRPr="002251C4">
        <w:rPr>
          <w:rFonts w:ascii="仿宋_GB2312" w:hAnsi="等线" w:hint="eastAsia"/>
          <w:szCs w:val="22"/>
        </w:rPr>
        <w:t>《北京市知识产权保险试点工作管理办法》的</w:t>
      </w:r>
      <w:r w:rsidRPr="002251C4">
        <w:rPr>
          <w:rFonts w:ascii="仿宋_GB2312" w:hAnsi="等线"/>
          <w:szCs w:val="22"/>
        </w:rPr>
        <w:t>要求</w:t>
      </w:r>
      <w:r w:rsidRPr="002251C4">
        <w:rPr>
          <w:rFonts w:ascii="仿宋_GB2312" w:hAnsi="等线" w:hint="eastAsia"/>
          <w:szCs w:val="22"/>
        </w:rPr>
        <w:t>，人保</w:t>
      </w:r>
      <w:r w:rsidRPr="002251C4">
        <w:rPr>
          <w:rFonts w:ascii="仿宋_GB2312" w:hAnsi="等线"/>
          <w:szCs w:val="22"/>
        </w:rPr>
        <w:t>财险</w:t>
      </w:r>
      <w:r w:rsidRPr="002251C4">
        <w:rPr>
          <w:rFonts w:ascii="仿宋_GB2312" w:hAnsi="等线" w:hint="eastAsia"/>
          <w:szCs w:val="22"/>
        </w:rPr>
        <w:t>设计“专利卫士”产品</w:t>
      </w:r>
      <w:r w:rsidRPr="002251C4">
        <w:rPr>
          <w:rFonts w:ascii="仿宋_GB2312" w:hAnsi="等线"/>
          <w:szCs w:val="22"/>
        </w:rPr>
        <w:t>，包含</w:t>
      </w:r>
      <w:r w:rsidRPr="002251C4">
        <w:rPr>
          <w:rFonts w:ascii="仿宋_GB2312" w:hAnsi="等线" w:hint="eastAsia"/>
          <w:szCs w:val="22"/>
        </w:rPr>
        <w:t>试点</w:t>
      </w:r>
      <w:r w:rsidRPr="002251C4">
        <w:rPr>
          <w:rFonts w:ascii="仿宋_GB2312" w:hAnsi="等线"/>
          <w:szCs w:val="22"/>
        </w:rPr>
        <w:t>项目</w:t>
      </w:r>
      <w:r w:rsidRPr="002251C4">
        <w:rPr>
          <w:rFonts w:ascii="仿宋_GB2312" w:hAnsi="等线" w:hint="eastAsia"/>
          <w:szCs w:val="22"/>
        </w:rPr>
        <w:t>支持的专利执行保险、专利被侵权损失保险，通过</w:t>
      </w:r>
      <w:r w:rsidRPr="002251C4">
        <w:rPr>
          <w:rFonts w:ascii="仿宋_GB2312" w:hAnsi="等线"/>
          <w:szCs w:val="22"/>
        </w:rPr>
        <w:t>金融保险的手段</w:t>
      </w:r>
      <w:r w:rsidRPr="002251C4">
        <w:rPr>
          <w:rFonts w:ascii="仿宋_GB2312" w:hAnsi="等线" w:hint="eastAsia"/>
          <w:szCs w:val="22"/>
        </w:rPr>
        <w:t>，保护企业</w:t>
      </w:r>
      <w:r w:rsidRPr="002251C4">
        <w:rPr>
          <w:rFonts w:ascii="仿宋_GB2312" w:hAnsi="等线"/>
          <w:szCs w:val="22"/>
        </w:rPr>
        <w:t>知识产权</w:t>
      </w:r>
      <w:r w:rsidRPr="002251C4">
        <w:rPr>
          <w:rFonts w:ascii="仿宋_GB2312" w:hAnsi="等线" w:hint="eastAsia"/>
          <w:szCs w:val="22"/>
        </w:rPr>
        <w:t>，支持企业</w:t>
      </w:r>
      <w:r w:rsidRPr="002251C4">
        <w:rPr>
          <w:rFonts w:ascii="仿宋_GB2312" w:hAnsi="等线"/>
          <w:szCs w:val="22"/>
        </w:rPr>
        <w:t>科技创新</w:t>
      </w:r>
      <w:r w:rsidRPr="002251C4">
        <w:rPr>
          <w:rFonts w:ascii="仿宋_GB2312" w:hAnsi="等线" w:hint="eastAsia"/>
          <w:szCs w:val="22"/>
        </w:rPr>
        <w:t>。</w:t>
      </w:r>
    </w:p>
    <w:p w14:paraId="2901FDD0" w14:textId="77777777" w:rsidR="00A246BF" w:rsidRPr="002251C4" w:rsidRDefault="00A246BF" w:rsidP="00A246BF">
      <w:pPr>
        <w:adjustRightInd w:val="0"/>
        <w:snapToGrid w:val="0"/>
        <w:ind w:firstLineChars="200" w:firstLine="640"/>
        <w:jc w:val="both"/>
        <w:rPr>
          <w:rFonts w:ascii="黑体" w:eastAsia="黑体" w:hAnsi="黑体"/>
          <w:szCs w:val="22"/>
        </w:rPr>
      </w:pPr>
      <w:r w:rsidRPr="002251C4">
        <w:rPr>
          <w:rFonts w:ascii="黑体" w:eastAsia="黑体" w:hAnsi="黑体" w:hint="eastAsia"/>
          <w:szCs w:val="22"/>
        </w:rPr>
        <w:t>一</w:t>
      </w:r>
      <w:r w:rsidRPr="002251C4">
        <w:rPr>
          <w:rFonts w:ascii="黑体" w:eastAsia="黑体" w:hAnsi="黑体"/>
          <w:szCs w:val="22"/>
        </w:rPr>
        <w:t>、保险产品</w:t>
      </w:r>
    </w:p>
    <w:p w14:paraId="4C72ED6D"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1.专利</w:t>
      </w:r>
      <w:r w:rsidRPr="002251C4">
        <w:rPr>
          <w:rFonts w:ascii="仿宋_GB2312" w:hAnsi="等线"/>
          <w:szCs w:val="22"/>
        </w:rPr>
        <w:t>执行保险</w:t>
      </w:r>
      <w:r w:rsidRPr="002251C4">
        <w:rPr>
          <w:rFonts w:ascii="仿宋_GB2312" w:hAnsi="等线" w:hint="eastAsia"/>
          <w:szCs w:val="22"/>
        </w:rPr>
        <w:t>是指在投保专利遭受第三方侵权时，赔偿被保险人因正常维权而产生的调查费用、法律费用等的保险。</w:t>
      </w:r>
    </w:p>
    <w:p w14:paraId="700B58C5"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2.专利被侵权损失保险是指在投保专利遭受第三方侵权时，赔偿被保险人被侵权直接经济损失的保险。</w:t>
      </w:r>
    </w:p>
    <w:p w14:paraId="7E59662A" w14:textId="77777777" w:rsidR="00A246BF" w:rsidRPr="002251C4" w:rsidRDefault="00A246BF" w:rsidP="00A246BF">
      <w:pPr>
        <w:adjustRightInd w:val="0"/>
        <w:snapToGrid w:val="0"/>
        <w:ind w:firstLineChars="200" w:firstLine="640"/>
        <w:jc w:val="both"/>
        <w:rPr>
          <w:rFonts w:ascii="黑体" w:eastAsia="黑体" w:hAnsi="黑体"/>
          <w:szCs w:val="22"/>
        </w:rPr>
      </w:pPr>
      <w:r w:rsidRPr="002251C4">
        <w:rPr>
          <w:rFonts w:ascii="黑体" w:eastAsia="黑体" w:hAnsi="黑体" w:hint="eastAsia"/>
          <w:szCs w:val="22"/>
        </w:rPr>
        <w:t>二</w:t>
      </w:r>
      <w:r w:rsidRPr="002251C4">
        <w:rPr>
          <w:rFonts w:ascii="黑体" w:eastAsia="黑体" w:hAnsi="黑体"/>
          <w:szCs w:val="22"/>
        </w:rPr>
        <w:t>、保险责任</w:t>
      </w:r>
      <w:r w:rsidRPr="002251C4">
        <w:rPr>
          <w:rFonts w:ascii="黑体" w:eastAsia="黑体" w:hAnsi="黑体" w:hint="eastAsia"/>
          <w:szCs w:val="22"/>
        </w:rPr>
        <w:t>简述</w:t>
      </w:r>
    </w:p>
    <w:p w14:paraId="46B148FA"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1.专利执行</w:t>
      </w:r>
      <w:r w:rsidRPr="002251C4">
        <w:rPr>
          <w:rFonts w:ascii="仿宋_GB2312" w:hAnsi="等线"/>
          <w:szCs w:val="22"/>
        </w:rPr>
        <w:t>保险</w:t>
      </w:r>
    </w:p>
    <w:p w14:paraId="1A497211"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在保险期间及追溯期内，第三方首次对投保专利实施侵权，被保险人为获取证据进行调查，并在保险期间内向法院、仲裁机构或管理专利工作的部门提出立案或处理请求，该请求被立案或受理的，对于被保险人在立案或受理前发生的必要、合理的调查费用（调查费、公证费、交通费、食宿费），以及对应由被保险人支付的法律费用（律师费，仲裁、诉讼费或行政处理费），保险人按照合同约定负责赔偿。</w:t>
      </w:r>
    </w:p>
    <w:p w14:paraId="0EA9C873"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lastRenderedPageBreak/>
        <w:t>附加证物费用保险</w:t>
      </w:r>
    </w:p>
    <w:p w14:paraId="227BA830"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在保险期间内，对于被保险人或其代表购买涉嫌侵权的产品费用，保险人按照本保险合同的约定负责赔偿。</w:t>
      </w:r>
    </w:p>
    <w:p w14:paraId="7CF00D0E"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附加专利无效诉讼费用保险</w:t>
      </w:r>
    </w:p>
    <w:p w14:paraId="2031C733"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在保险期间内，被保险人因抗辩侵权人提出专利部分或全部无效所发生的必要的合理的调查费用和法律费用，保险人在保险合同载明的赔偿限额内进行赔偿。</w:t>
      </w:r>
    </w:p>
    <w:p w14:paraId="30B3C5C5"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2.专利被侵权损失保险</w:t>
      </w:r>
    </w:p>
    <w:p w14:paraId="7BB6F306"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在保险期间或保险合同约定的追溯期内，第三方未经被保险人许可，实施本保险单列明的专利，导致被保险人的经济损失，被保险人在保险期间内向保险人索赔的，保险人按照本保险合同约定负责赔偿。</w:t>
      </w:r>
    </w:p>
    <w:p w14:paraId="349632ED" w14:textId="77777777" w:rsidR="00A246BF" w:rsidRPr="002251C4" w:rsidRDefault="00A246BF" w:rsidP="00A246BF">
      <w:pPr>
        <w:adjustRightInd w:val="0"/>
        <w:snapToGrid w:val="0"/>
        <w:ind w:firstLineChars="200" w:firstLine="640"/>
        <w:jc w:val="both"/>
        <w:rPr>
          <w:rFonts w:ascii="黑体" w:eastAsia="黑体" w:hAnsi="黑体"/>
          <w:szCs w:val="22"/>
        </w:rPr>
      </w:pPr>
      <w:r w:rsidRPr="002251C4">
        <w:rPr>
          <w:rFonts w:ascii="黑体" w:eastAsia="黑体" w:hAnsi="黑体" w:hint="eastAsia"/>
          <w:szCs w:val="22"/>
        </w:rPr>
        <w:t>三</w:t>
      </w:r>
      <w:r w:rsidRPr="002251C4">
        <w:rPr>
          <w:rFonts w:ascii="黑体" w:eastAsia="黑体" w:hAnsi="黑体"/>
          <w:szCs w:val="22"/>
        </w:rPr>
        <w:t>、保险</w:t>
      </w:r>
      <w:r w:rsidRPr="002251C4">
        <w:rPr>
          <w:rFonts w:ascii="黑体" w:eastAsia="黑体" w:hAnsi="黑体" w:hint="eastAsia"/>
          <w:szCs w:val="22"/>
        </w:rPr>
        <w:t>方案</w:t>
      </w:r>
    </w:p>
    <w:p w14:paraId="012C90C8"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为满足试点政策要求，我公司设计“专利卫士”专属保险产品，根据试点对象的不同企业类型，定制“冠军专利卫士”和“小微专利卫士”保险方案，适当提高保险限额、扩大保险责任，同时搭配专属增值服务，帮助企业降低维权成本，提高知识产权运营管理能力。</w:t>
      </w:r>
    </w:p>
    <w:p w14:paraId="25BB049A" w14:textId="77777777" w:rsidR="00A246BF" w:rsidRPr="002251C4" w:rsidRDefault="00A246BF" w:rsidP="00A246BF">
      <w:pPr>
        <w:adjustRightInd w:val="0"/>
        <w:snapToGrid w:val="0"/>
        <w:ind w:firstLineChars="200" w:firstLine="640"/>
        <w:jc w:val="both"/>
        <w:rPr>
          <w:rFonts w:ascii="仿宋_GB2312" w:hAnsi="等线"/>
          <w:szCs w:val="22"/>
        </w:rPr>
      </w:pPr>
    </w:p>
    <w:p w14:paraId="12AC476A" w14:textId="77777777" w:rsidR="00A246BF" w:rsidRPr="002251C4" w:rsidRDefault="00A246BF" w:rsidP="00A246BF">
      <w:pPr>
        <w:adjustRightInd w:val="0"/>
        <w:snapToGrid w:val="0"/>
        <w:ind w:firstLineChars="200" w:firstLine="640"/>
        <w:jc w:val="both"/>
        <w:rPr>
          <w:rFonts w:ascii="仿宋_GB2312" w:hAnsi="等线"/>
          <w:szCs w:val="22"/>
        </w:rPr>
      </w:pPr>
    </w:p>
    <w:p w14:paraId="763C66B6" w14:textId="77777777" w:rsidR="00A246BF" w:rsidRPr="002251C4" w:rsidRDefault="00A246BF" w:rsidP="00A246BF">
      <w:pPr>
        <w:adjustRightInd w:val="0"/>
        <w:snapToGrid w:val="0"/>
        <w:ind w:firstLineChars="200" w:firstLine="640"/>
        <w:jc w:val="both"/>
        <w:rPr>
          <w:rFonts w:ascii="仿宋_GB2312" w:hAnsi="等线"/>
          <w:szCs w:val="22"/>
        </w:rPr>
      </w:pPr>
    </w:p>
    <w:p w14:paraId="063D5B54" w14:textId="77777777" w:rsidR="00A246BF" w:rsidRPr="002251C4" w:rsidRDefault="00A246BF" w:rsidP="00A246BF">
      <w:pPr>
        <w:adjustRightInd w:val="0"/>
        <w:snapToGrid w:val="0"/>
        <w:ind w:firstLineChars="200" w:firstLine="640"/>
        <w:jc w:val="both"/>
        <w:rPr>
          <w:rFonts w:ascii="仿宋_GB2312" w:hAnsi="等线"/>
          <w:szCs w:val="22"/>
        </w:rPr>
      </w:pPr>
    </w:p>
    <w:p w14:paraId="7AE5637A"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lastRenderedPageBreak/>
        <w:t>单项冠军</w:t>
      </w:r>
      <w:r w:rsidRPr="002251C4">
        <w:rPr>
          <w:rFonts w:ascii="仿宋_GB2312" w:hAnsi="等线"/>
          <w:szCs w:val="22"/>
        </w:rPr>
        <w:t>企业方案：</w:t>
      </w:r>
    </w:p>
    <w:tbl>
      <w:tblPr>
        <w:tblStyle w:val="1"/>
        <w:tblW w:w="0" w:type="auto"/>
        <w:tblLook w:val="04A0" w:firstRow="1" w:lastRow="0" w:firstColumn="1" w:lastColumn="0" w:noHBand="0" w:noVBand="1"/>
      </w:tblPr>
      <w:tblGrid>
        <w:gridCol w:w="3114"/>
        <w:gridCol w:w="2268"/>
        <w:gridCol w:w="3452"/>
      </w:tblGrid>
      <w:tr w:rsidR="00A246BF" w:rsidRPr="002251C4" w14:paraId="509EDB25" w14:textId="77777777" w:rsidTr="00B30F95">
        <w:tc>
          <w:tcPr>
            <w:tcW w:w="8834" w:type="dxa"/>
            <w:gridSpan w:val="3"/>
            <w:vAlign w:val="center"/>
          </w:tcPr>
          <w:p w14:paraId="4D2647D7"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冠军专利卫士</w:t>
            </w:r>
          </w:p>
        </w:tc>
      </w:tr>
      <w:tr w:rsidR="00A246BF" w:rsidRPr="002251C4" w14:paraId="051ABD49" w14:textId="77777777" w:rsidTr="00B30F95">
        <w:tc>
          <w:tcPr>
            <w:tcW w:w="3114" w:type="dxa"/>
            <w:vAlign w:val="center"/>
          </w:tcPr>
          <w:p w14:paraId="794A04B0"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条款名称</w:t>
            </w:r>
          </w:p>
        </w:tc>
        <w:tc>
          <w:tcPr>
            <w:tcW w:w="2268" w:type="dxa"/>
            <w:vAlign w:val="center"/>
          </w:tcPr>
          <w:p w14:paraId="27A2C382"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保险责任</w:t>
            </w:r>
          </w:p>
        </w:tc>
        <w:tc>
          <w:tcPr>
            <w:tcW w:w="3452" w:type="dxa"/>
            <w:vAlign w:val="center"/>
          </w:tcPr>
          <w:p w14:paraId="2A331789"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累计赔偿限额（万元）</w:t>
            </w:r>
          </w:p>
        </w:tc>
      </w:tr>
      <w:tr w:rsidR="00A246BF" w:rsidRPr="002251C4" w14:paraId="4A38601F" w14:textId="77777777" w:rsidTr="00B30F95">
        <w:tc>
          <w:tcPr>
            <w:tcW w:w="3114" w:type="dxa"/>
            <w:vMerge w:val="restart"/>
            <w:vAlign w:val="center"/>
          </w:tcPr>
          <w:p w14:paraId="6DDC5D2D"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专利执行</w:t>
            </w:r>
            <w:r w:rsidRPr="002251C4">
              <w:rPr>
                <w:rFonts w:ascii="仿宋_GB2312" w:hAnsi="等线"/>
                <w:szCs w:val="22"/>
              </w:rPr>
              <w:t>保险</w:t>
            </w:r>
          </w:p>
        </w:tc>
        <w:tc>
          <w:tcPr>
            <w:tcW w:w="2268" w:type="dxa"/>
            <w:vAlign w:val="center"/>
          </w:tcPr>
          <w:p w14:paraId="39EF8860"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调查费</w:t>
            </w:r>
            <w:r w:rsidRPr="002251C4">
              <w:rPr>
                <w:rFonts w:ascii="仿宋_GB2312" w:hAnsi="等线"/>
                <w:szCs w:val="22"/>
              </w:rPr>
              <w:t>用</w:t>
            </w:r>
          </w:p>
        </w:tc>
        <w:tc>
          <w:tcPr>
            <w:tcW w:w="3452" w:type="dxa"/>
            <w:vAlign w:val="center"/>
          </w:tcPr>
          <w:p w14:paraId="354F9C9F"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20</w:t>
            </w:r>
          </w:p>
        </w:tc>
      </w:tr>
      <w:tr w:rsidR="00A246BF" w:rsidRPr="002251C4" w14:paraId="154B9C88" w14:textId="77777777" w:rsidTr="00B30F95">
        <w:tc>
          <w:tcPr>
            <w:tcW w:w="3114" w:type="dxa"/>
            <w:vMerge/>
            <w:vAlign w:val="center"/>
          </w:tcPr>
          <w:p w14:paraId="6FCC4F5D" w14:textId="77777777" w:rsidR="00A246BF" w:rsidRPr="002251C4" w:rsidRDefault="00A246BF" w:rsidP="00B30F95">
            <w:pPr>
              <w:adjustRightInd w:val="0"/>
              <w:snapToGrid w:val="0"/>
              <w:jc w:val="both"/>
              <w:rPr>
                <w:rFonts w:ascii="仿宋_GB2312" w:hAnsi="等线"/>
                <w:szCs w:val="22"/>
              </w:rPr>
            </w:pPr>
          </w:p>
        </w:tc>
        <w:tc>
          <w:tcPr>
            <w:tcW w:w="2268" w:type="dxa"/>
            <w:vAlign w:val="center"/>
          </w:tcPr>
          <w:p w14:paraId="0C0D9547"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法律</w:t>
            </w:r>
            <w:r w:rsidRPr="002251C4">
              <w:rPr>
                <w:rFonts w:ascii="仿宋_GB2312" w:hAnsi="等线"/>
                <w:szCs w:val="22"/>
              </w:rPr>
              <w:t>费用</w:t>
            </w:r>
          </w:p>
        </w:tc>
        <w:tc>
          <w:tcPr>
            <w:tcW w:w="3452" w:type="dxa"/>
            <w:vAlign w:val="center"/>
          </w:tcPr>
          <w:p w14:paraId="00248D41"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20</w:t>
            </w:r>
          </w:p>
        </w:tc>
      </w:tr>
      <w:tr w:rsidR="00A246BF" w:rsidRPr="002251C4" w14:paraId="546EF73D" w14:textId="77777777" w:rsidTr="00B30F95">
        <w:tc>
          <w:tcPr>
            <w:tcW w:w="3114" w:type="dxa"/>
            <w:vMerge/>
            <w:vAlign w:val="center"/>
          </w:tcPr>
          <w:p w14:paraId="10C0BD71" w14:textId="77777777" w:rsidR="00A246BF" w:rsidRPr="002251C4" w:rsidRDefault="00A246BF" w:rsidP="00B30F95">
            <w:pPr>
              <w:adjustRightInd w:val="0"/>
              <w:snapToGrid w:val="0"/>
              <w:jc w:val="both"/>
              <w:rPr>
                <w:rFonts w:ascii="仿宋_GB2312" w:hAnsi="等线"/>
                <w:szCs w:val="22"/>
              </w:rPr>
            </w:pPr>
          </w:p>
        </w:tc>
        <w:tc>
          <w:tcPr>
            <w:tcW w:w="2268" w:type="dxa"/>
            <w:vAlign w:val="center"/>
          </w:tcPr>
          <w:p w14:paraId="4D304417"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证物费用</w:t>
            </w:r>
          </w:p>
        </w:tc>
        <w:tc>
          <w:tcPr>
            <w:tcW w:w="3452" w:type="dxa"/>
            <w:vAlign w:val="center"/>
          </w:tcPr>
          <w:p w14:paraId="4FB1008D"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20</w:t>
            </w:r>
          </w:p>
        </w:tc>
      </w:tr>
      <w:tr w:rsidR="00A246BF" w:rsidRPr="002251C4" w14:paraId="4DE7CEF1" w14:textId="77777777" w:rsidTr="00B30F95">
        <w:tc>
          <w:tcPr>
            <w:tcW w:w="3114" w:type="dxa"/>
            <w:vMerge/>
            <w:vAlign w:val="center"/>
          </w:tcPr>
          <w:p w14:paraId="400FCD15" w14:textId="77777777" w:rsidR="00A246BF" w:rsidRPr="002251C4" w:rsidRDefault="00A246BF" w:rsidP="00B30F95">
            <w:pPr>
              <w:adjustRightInd w:val="0"/>
              <w:snapToGrid w:val="0"/>
              <w:jc w:val="both"/>
              <w:rPr>
                <w:rFonts w:ascii="仿宋_GB2312" w:hAnsi="等线"/>
                <w:szCs w:val="22"/>
              </w:rPr>
            </w:pPr>
          </w:p>
        </w:tc>
        <w:tc>
          <w:tcPr>
            <w:tcW w:w="2268" w:type="dxa"/>
            <w:vAlign w:val="center"/>
          </w:tcPr>
          <w:p w14:paraId="393B6403"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无效诉讼</w:t>
            </w:r>
            <w:r w:rsidRPr="002251C4">
              <w:rPr>
                <w:rFonts w:ascii="仿宋_GB2312" w:hAnsi="等线"/>
                <w:szCs w:val="22"/>
              </w:rPr>
              <w:t>费用</w:t>
            </w:r>
          </w:p>
        </w:tc>
        <w:tc>
          <w:tcPr>
            <w:tcW w:w="3452" w:type="dxa"/>
            <w:vAlign w:val="center"/>
          </w:tcPr>
          <w:p w14:paraId="3678A893"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20</w:t>
            </w:r>
          </w:p>
        </w:tc>
      </w:tr>
      <w:tr w:rsidR="00A246BF" w:rsidRPr="002251C4" w14:paraId="09BA61CD" w14:textId="77777777" w:rsidTr="00B30F95">
        <w:tc>
          <w:tcPr>
            <w:tcW w:w="3114" w:type="dxa"/>
            <w:vAlign w:val="center"/>
          </w:tcPr>
          <w:p w14:paraId="50FACE97"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专利被</w:t>
            </w:r>
            <w:r w:rsidRPr="002251C4">
              <w:rPr>
                <w:rFonts w:ascii="仿宋_GB2312" w:hAnsi="等线"/>
                <w:szCs w:val="22"/>
              </w:rPr>
              <w:t>侵权损失保险</w:t>
            </w:r>
          </w:p>
        </w:tc>
        <w:tc>
          <w:tcPr>
            <w:tcW w:w="2268" w:type="dxa"/>
            <w:vAlign w:val="center"/>
          </w:tcPr>
          <w:p w14:paraId="40D444EE"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直接</w:t>
            </w:r>
            <w:r w:rsidRPr="002251C4">
              <w:rPr>
                <w:rFonts w:ascii="仿宋_GB2312" w:hAnsi="等线"/>
                <w:szCs w:val="22"/>
              </w:rPr>
              <w:t>损失</w:t>
            </w:r>
          </w:p>
        </w:tc>
        <w:tc>
          <w:tcPr>
            <w:tcW w:w="3452" w:type="dxa"/>
            <w:vAlign w:val="center"/>
          </w:tcPr>
          <w:p w14:paraId="2A6542A4"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160</w:t>
            </w:r>
          </w:p>
        </w:tc>
      </w:tr>
      <w:tr w:rsidR="00A246BF" w:rsidRPr="002251C4" w14:paraId="7172597B" w14:textId="77777777" w:rsidTr="00B30F95">
        <w:tc>
          <w:tcPr>
            <w:tcW w:w="5382" w:type="dxa"/>
            <w:gridSpan w:val="2"/>
            <w:vAlign w:val="center"/>
          </w:tcPr>
          <w:p w14:paraId="4E46AF3E"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免赔</w:t>
            </w:r>
            <w:r w:rsidRPr="002251C4">
              <w:rPr>
                <w:rFonts w:ascii="仿宋_GB2312" w:hAnsi="等线"/>
                <w:szCs w:val="22"/>
              </w:rPr>
              <w:t>额</w:t>
            </w:r>
          </w:p>
        </w:tc>
        <w:tc>
          <w:tcPr>
            <w:tcW w:w="3452" w:type="dxa"/>
            <w:vAlign w:val="center"/>
          </w:tcPr>
          <w:p w14:paraId="08BDB917"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0</w:t>
            </w:r>
          </w:p>
        </w:tc>
      </w:tr>
      <w:tr w:rsidR="00A246BF" w:rsidRPr="002251C4" w14:paraId="0290C61D" w14:textId="77777777" w:rsidTr="00B30F95">
        <w:tc>
          <w:tcPr>
            <w:tcW w:w="5382" w:type="dxa"/>
            <w:gridSpan w:val="2"/>
            <w:vAlign w:val="center"/>
          </w:tcPr>
          <w:p w14:paraId="4ADFB161"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保险期限</w:t>
            </w:r>
          </w:p>
        </w:tc>
        <w:tc>
          <w:tcPr>
            <w:tcW w:w="3452" w:type="dxa"/>
            <w:vAlign w:val="center"/>
          </w:tcPr>
          <w:p w14:paraId="02A4AD16"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一年</w:t>
            </w:r>
          </w:p>
        </w:tc>
      </w:tr>
      <w:tr w:rsidR="00A246BF" w:rsidRPr="002251C4" w14:paraId="7270BE93" w14:textId="77777777" w:rsidTr="00B30F95">
        <w:tc>
          <w:tcPr>
            <w:tcW w:w="5382" w:type="dxa"/>
            <w:gridSpan w:val="2"/>
            <w:vAlign w:val="center"/>
          </w:tcPr>
          <w:p w14:paraId="070D04F5"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保险费</w:t>
            </w:r>
            <w:r w:rsidRPr="002251C4">
              <w:rPr>
                <w:rFonts w:ascii="仿宋_GB2312" w:hAnsi="等线"/>
                <w:szCs w:val="22"/>
              </w:rPr>
              <w:t>合计</w:t>
            </w:r>
          </w:p>
        </w:tc>
        <w:tc>
          <w:tcPr>
            <w:tcW w:w="3452" w:type="dxa"/>
            <w:vAlign w:val="center"/>
          </w:tcPr>
          <w:p w14:paraId="1983DAE2"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2.5</w:t>
            </w:r>
          </w:p>
        </w:tc>
      </w:tr>
    </w:tbl>
    <w:p w14:paraId="6A4BF711"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重点领域</w:t>
      </w:r>
      <w:r w:rsidRPr="002251C4">
        <w:rPr>
          <w:rFonts w:ascii="仿宋_GB2312" w:hAnsi="等线"/>
          <w:szCs w:val="22"/>
        </w:rPr>
        <w:t>中小</w:t>
      </w:r>
      <w:proofErr w:type="gramStart"/>
      <w:r w:rsidRPr="002251C4">
        <w:rPr>
          <w:rFonts w:ascii="仿宋_GB2312" w:hAnsi="等线"/>
          <w:szCs w:val="22"/>
        </w:rPr>
        <w:t>微企业</w:t>
      </w:r>
      <w:proofErr w:type="gramEnd"/>
      <w:r w:rsidRPr="002251C4">
        <w:rPr>
          <w:rFonts w:ascii="仿宋_GB2312" w:hAnsi="等线"/>
          <w:szCs w:val="22"/>
        </w:rPr>
        <w:t>方案：</w:t>
      </w:r>
    </w:p>
    <w:tbl>
      <w:tblPr>
        <w:tblStyle w:val="1"/>
        <w:tblW w:w="0" w:type="auto"/>
        <w:tblLook w:val="04A0" w:firstRow="1" w:lastRow="0" w:firstColumn="1" w:lastColumn="0" w:noHBand="0" w:noVBand="1"/>
      </w:tblPr>
      <w:tblGrid>
        <w:gridCol w:w="3114"/>
        <w:gridCol w:w="2268"/>
        <w:gridCol w:w="3452"/>
      </w:tblGrid>
      <w:tr w:rsidR="00A246BF" w:rsidRPr="002251C4" w14:paraId="1204EBDD" w14:textId="77777777" w:rsidTr="00B30F95">
        <w:tc>
          <w:tcPr>
            <w:tcW w:w="8834" w:type="dxa"/>
            <w:gridSpan w:val="3"/>
            <w:vAlign w:val="center"/>
          </w:tcPr>
          <w:p w14:paraId="7F5243EE"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小</w:t>
            </w:r>
            <w:proofErr w:type="gramStart"/>
            <w:r w:rsidRPr="002251C4">
              <w:rPr>
                <w:rFonts w:ascii="仿宋_GB2312" w:hAnsi="等线" w:hint="eastAsia"/>
                <w:szCs w:val="22"/>
              </w:rPr>
              <w:t>微专利</w:t>
            </w:r>
            <w:proofErr w:type="gramEnd"/>
            <w:r w:rsidRPr="002251C4">
              <w:rPr>
                <w:rFonts w:ascii="仿宋_GB2312" w:hAnsi="等线" w:hint="eastAsia"/>
                <w:szCs w:val="22"/>
              </w:rPr>
              <w:t>卫士</w:t>
            </w:r>
          </w:p>
        </w:tc>
      </w:tr>
      <w:tr w:rsidR="00A246BF" w:rsidRPr="002251C4" w14:paraId="4B81401C" w14:textId="77777777" w:rsidTr="00B30F95">
        <w:tc>
          <w:tcPr>
            <w:tcW w:w="3114" w:type="dxa"/>
            <w:vAlign w:val="center"/>
          </w:tcPr>
          <w:p w14:paraId="61D92E10"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条款名称</w:t>
            </w:r>
          </w:p>
        </w:tc>
        <w:tc>
          <w:tcPr>
            <w:tcW w:w="2268" w:type="dxa"/>
            <w:vAlign w:val="center"/>
          </w:tcPr>
          <w:p w14:paraId="63C8FF2A"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保险责任</w:t>
            </w:r>
          </w:p>
        </w:tc>
        <w:tc>
          <w:tcPr>
            <w:tcW w:w="3452" w:type="dxa"/>
            <w:vAlign w:val="center"/>
          </w:tcPr>
          <w:p w14:paraId="30F1E8EB"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累计赔偿限额（万元）</w:t>
            </w:r>
          </w:p>
        </w:tc>
      </w:tr>
      <w:tr w:rsidR="00A246BF" w:rsidRPr="002251C4" w14:paraId="7519093E" w14:textId="77777777" w:rsidTr="00B30F95">
        <w:tc>
          <w:tcPr>
            <w:tcW w:w="3114" w:type="dxa"/>
            <w:vMerge w:val="restart"/>
            <w:vAlign w:val="center"/>
          </w:tcPr>
          <w:p w14:paraId="3885499D"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专利执行</w:t>
            </w:r>
            <w:r w:rsidRPr="002251C4">
              <w:rPr>
                <w:rFonts w:ascii="仿宋_GB2312" w:hAnsi="等线"/>
                <w:szCs w:val="22"/>
              </w:rPr>
              <w:t>保险</w:t>
            </w:r>
          </w:p>
        </w:tc>
        <w:tc>
          <w:tcPr>
            <w:tcW w:w="2268" w:type="dxa"/>
            <w:vAlign w:val="center"/>
          </w:tcPr>
          <w:p w14:paraId="6C65E4E6"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调查费</w:t>
            </w:r>
            <w:r w:rsidRPr="002251C4">
              <w:rPr>
                <w:rFonts w:ascii="仿宋_GB2312" w:hAnsi="等线"/>
                <w:szCs w:val="22"/>
              </w:rPr>
              <w:t>用</w:t>
            </w:r>
          </w:p>
        </w:tc>
        <w:tc>
          <w:tcPr>
            <w:tcW w:w="3452" w:type="dxa"/>
            <w:vAlign w:val="center"/>
          </w:tcPr>
          <w:p w14:paraId="1C0B35BB"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20</w:t>
            </w:r>
          </w:p>
        </w:tc>
      </w:tr>
      <w:tr w:rsidR="00A246BF" w:rsidRPr="002251C4" w14:paraId="407F907B" w14:textId="77777777" w:rsidTr="00B30F95">
        <w:tc>
          <w:tcPr>
            <w:tcW w:w="3114" w:type="dxa"/>
            <w:vMerge/>
            <w:vAlign w:val="center"/>
          </w:tcPr>
          <w:p w14:paraId="5C848635" w14:textId="77777777" w:rsidR="00A246BF" w:rsidRPr="002251C4" w:rsidRDefault="00A246BF" w:rsidP="00B30F95">
            <w:pPr>
              <w:adjustRightInd w:val="0"/>
              <w:snapToGrid w:val="0"/>
              <w:jc w:val="both"/>
              <w:rPr>
                <w:rFonts w:ascii="仿宋_GB2312" w:hAnsi="等线"/>
                <w:szCs w:val="22"/>
              </w:rPr>
            </w:pPr>
          </w:p>
        </w:tc>
        <w:tc>
          <w:tcPr>
            <w:tcW w:w="2268" w:type="dxa"/>
            <w:vAlign w:val="center"/>
          </w:tcPr>
          <w:p w14:paraId="631D94AA"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法律</w:t>
            </w:r>
            <w:r w:rsidRPr="002251C4">
              <w:rPr>
                <w:rFonts w:ascii="仿宋_GB2312" w:hAnsi="等线"/>
                <w:szCs w:val="22"/>
              </w:rPr>
              <w:t>费用</w:t>
            </w:r>
          </w:p>
        </w:tc>
        <w:tc>
          <w:tcPr>
            <w:tcW w:w="3452" w:type="dxa"/>
            <w:vAlign w:val="center"/>
          </w:tcPr>
          <w:p w14:paraId="00DD2FCE"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20</w:t>
            </w:r>
          </w:p>
        </w:tc>
      </w:tr>
      <w:tr w:rsidR="00A246BF" w:rsidRPr="002251C4" w14:paraId="2B78DDB4" w14:textId="77777777" w:rsidTr="00B30F95">
        <w:tc>
          <w:tcPr>
            <w:tcW w:w="3114" w:type="dxa"/>
            <w:vMerge/>
            <w:vAlign w:val="center"/>
          </w:tcPr>
          <w:p w14:paraId="78D6A3AF" w14:textId="77777777" w:rsidR="00A246BF" w:rsidRPr="002251C4" w:rsidRDefault="00A246BF" w:rsidP="00B30F95">
            <w:pPr>
              <w:adjustRightInd w:val="0"/>
              <w:snapToGrid w:val="0"/>
              <w:jc w:val="both"/>
              <w:rPr>
                <w:rFonts w:ascii="仿宋_GB2312" w:hAnsi="等线"/>
                <w:szCs w:val="22"/>
              </w:rPr>
            </w:pPr>
          </w:p>
        </w:tc>
        <w:tc>
          <w:tcPr>
            <w:tcW w:w="2268" w:type="dxa"/>
            <w:vAlign w:val="center"/>
          </w:tcPr>
          <w:p w14:paraId="5D52768B"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证物费用</w:t>
            </w:r>
          </w:p>
        </w:tc>
        <w:tc>
          <w:tcPr>
            <w:tcW w:w="3452" w:type="dxa"/>
            <w:vAlign w:val="center"/>
          </w:tcPr>
          <w:p w14:paraId="3F9AAA02"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szCs w:val="22"/>
              </w:rPr>
              <w:t>5</w:t>
            </w:r>
          </w:p>
        </w:tc>
      </w:tr>
      <w:tr w:rsidR="00A246BF" w:rsidRPr="002251C4" w14:paraId="75228792" w14:textId="77777777" w:rsidTr="00B30F95">
        <w:tc>
          <w:tcPr>
            <w:tcW w:w="3114" w:type="dxa"/>
            <w:vMerge/>
            <w:vAlign w:val="center"/>
          </w:tcPr>
          <w:p w14:paraId="56DE0719" w14:textId="77777777" w:rsidR="00A246BF" w:rsidRPr="002251C4" w:rsidRDefault="00A246BF" w:rsidP="00B30F95">
            <w:pPr>
              <w:adjustRightInd w:val="0"/>
              <w:snapToGrid w:val="0"/>
              <w:jc w:val="both"/>
              <w:rPr>
                <w:rFonts w:ascii="仿宋_GB2312" w:hAnsi="等线"/>
                <w:szCs w:val="22"/>
              </w:rPr>
            </w:pPr>
          </w:p>
        </w:tc>
        <w:tc>
          <w:tcPr>
            <w:tcW w:w="2268" w:type="dxa"/>
            <w:vAlign w:val="center"/>
          </w:tcPr>
          <w:p w14:paraId="1EC33994"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无效诉讼</w:t>
            </w:r>
            <w:r w:rsidRPr="002251C4">
              <w:rPr>
                <w:rFonts w:ascii="仿宋_GB2312" w:hAnsi="等线"/>
                <w:szCs w:val="22"/>
              </w:rPr>
              <w:t>费用</w:t>
            </w:r>
          </w:p>
        </w:tc>
        <w:tc>
          <w:tcPr>
            <w:tcW w:w="3452" w:type="dxa"/>
            <w:vAlign w:val="center"/>
          </w:tcPr>
          <w:p w14:paraId="4284A108"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10</w:t>
            </w:r>
          </w:p>
        </w:tc>
      </w:tr>
      <w:tr w:rsidR="00A246BF" w:rsidRPr="002251C4" w14:paraId="5460A0D2" w14:textId="77777777" w:rsidTr="00B30F95">
        <w:tc>
          <w:tcPr>
            <w:tcW w:w="3114" w:type="dxa"/>
            <w:vAlign w:val="center"/>
          </w:tcPr>
          <w:p w14:paraId="48B7D9CF"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专利被</w:t>
            </w:r>
            <w:r w:rsidRPr="002251C4">
              <w:rPr>
                <w:rFonts w:ascii="仿宋_GB2312" w:hAnsi="等线"/>
                <w:szCs w:val="22"/>
              </w:rPr>
              <w:t>侵权损失保险</w:t>
            </w:r>
          </w:p>
        </w:tc>
        <w:tc>
          <w:tcPr>
            <w:tcW w:w="2268" w:type="dxa"/>
            <w:vAlign w:val="center"/>
          </w:tcPr>
          <w:p w14:paraId="502BB815"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直接</w:t>
            </w:r>
            <w:r w:rsidRPr="002251C4">
              <w:rPr>
                <w:rFonts w:ascii="仿宋_GB2312" w:hAnsi="等线"/>
                <w:szCs w:val="22"/>
              </w:rPr>
              <w:t>损失</w:t>
            </w:r>
          </w:p>
        </w:tc>
        <w:tc>
          <w:tcPr>
            <w:tcW w:w="3452" w:type="dxa"/>
            <w:vAlign w:val="center"/>
          </w:tcPr>
          <w:p w14:paraId="3841EE52"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szCs w:val="22"/>
              </w:rPr>
              <w:t>3</w:t>
            </w:r>
            <w:r w:rsidRPr="002251C4">
              <w:rPr>
                <w:rFonts w:ascii="仿宋_GB2312" w:hAnsi="等线" w:hint="eastAsia"/>
                <w:szCs w:val="22"/>
              </w:rPr>
              <w:t>0</w:t>
            </w:r>
          </w:p>
        </w:tc>
      </w:tr>
      <w:tr w:rsidR="00A246BF" w:rsidRPr="002251C4" w14:paraId="5C671735" w14:textId="77777777" w:rsidTr="00B30F95">
        <w:tc>
          <w:tcPr>
            <w:tcW w:w="5382" w:type="dxa"/>
            <w:gridSpan w:val="2"/>
            <w:vAlign w:val="center"/>
          </w:tcPr>
          <w:p w14:paraId="1A067ABF"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免赔</w:t>
            </w:r>
            <w:r w:rsidRPr="002251C4">
              <w:rPr>
                <w:rFonts w:ascii="仿宋_GB2312" w:hAnsi="等线"/>
                <w:szCs w:val="22"/>
              </w:rPr>
              <w:t>额</w:t>
            </w:r>
          </w:p>
        </w:tc>
        <w:tc>
          <w:tcPr>
            <w:tcW w:w="3452" w:type="dxa"/>
            <w:vAlign w:val="center"/>
          </w:tcPr>
          <w:p w14:paraId="059FBECB"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0</w:t>
            </w:r>
          </w:p>
        </w:tc>
      </w:tr>
      <w:tr w:rsidR="00A246BF" w:rsidRPr="002251C4" w14:paraId="2A81E7F3" w14:textId="77777777" w:rsidTr="00B30F95">
        <w:tc>
          <w:tcPr>
            <w:tcW w:w="5382" w:type="dxa"/>
            <w:gridSpan w:val="2"/>
            <w:vAlign w:val="center"/>
          </w:tcPr>
          <w:p w14:paraId="79F2458F"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保险期限</w:t>
            </w:r>
          </w:p>
        </w:tc>
        <w:tc>
          <w:tcPr>
            <w:tcW w:w="3452" w:type="dxa"/>
            <w:vAlign w:val="center"/>
          </w:tcPr>
          <w:p w14:paraId="5E638212"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三年</w:t>
            </w:r>
          </w:p>
        </w:tc>
      </w:tr>
      <w:tr w:rsidR="00A246BF" w:rsidRPr="002251C4" w14:paraId="61313E55" w14:textId="77777777" w:rsidTr="00B30F95">
        <w:tc>
          <w:tcPr>
            <w:tcW w:w="5382" w:type="dxa"/>
            <w:gridSpan w:val="2"/>
            <w:vAlign w:val="center"/>
          </w:tcPr>
          <w:p w14:paraId="54AC0EF9"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保险费</w:t>
            </w:r>
            <w:r w:rsidRPr="002251C4">
              <w:rPr>
                <w:rFonts w:ascii="仿宋_GB2312" w:hAnsi="等线"/>
                <w:szCs w:val="22"/>
              </w:rPr>
              <w:t>合计</w:t>
            </w:r>
          </w:p>
        </w:tc>
        <w:tc>
          <w:tcPr>
            <w:tcW w:w="3452" w:type="dxa"/>
            <w:vAlign w:val="center"/>
          </w:tcPr>
          <w:p w14:paraId="67C73B0D" w14:textId="77777777" w:rsidR="00A246BF" w:rsidRPr="002251C4" w:rsidRDefault="00A246BF" w:rsidP="00B30F95">
            <w:pPr>
              <w:adjustRightInd w:val="0"/>
              <w:snapToGrid w:val="0"/>
              <w:jc w:val="both"/>
              <w:rPr>
                <w:rFonts w:ascii="仿宋_GB2312" w:hAnsi="等线"/>
                <w:szCs w:val="22"/>
              </w:rPr>
            </w:pPr>
            <w:r w:rsidRPr="002251C4">
              <w:rPr>
                <w:rFonts w:ascii="仿宋_GB2312" w:hAnsi="等线" w:hint="eastAsia"/>
                <w:szCs w:val="22"/>
              </w:rPr>
              <w:t>1</w:t>
            </w:r>
          </w:p>
        </w:tc>
      </w:tr>
    </w:tbl>
    <w:p w14:paraId="39313033" w14:textId="77777777" w:rsidR="00A246BF" w:rsidRPr="002251C4" w:rsidRDefault="00A246BF" w:rsidP="00A246BF">
      <w:pPr>
        <w:adjustRightInd w:val="0"/>
        <w:snapToGrid w:val="0"/>
        <w:ind w:firstLineChars="200" w:firstLine="640"/>
        <w:jc w:val="both"/>
        <w:rPr>
          <w:rFonts w:ascii="黑体" w:eastAsia="黑体" w:hAnsi="黑体"/>
          <w:szCs w:val="22"/>
        </w:rPr>
      </w:pPr>
      <w:r w:rsidRPr="002251C4">
        <w:rPr>
          <w:rFonts w:ascii="仿宋_GB2312" w:hAnsi="等线"/>
          <w:noProof/>
          <w:szCs w:val="22"/>
        </w:rPr>
        <w:lastRenderedPageBreak/>
        <w:drawing>
          <wp:anchor distT="0" distB="0" distL="114300" distR="114300" simplePos="0" relativeHeight="251659264" behindDoc="0" locked="0" layoutInCell="1" allowOverlap="1" wp14:anchorId="155BB605" wp14:editId="7A629928">
            <wp:simplePos x="0" y="0"/>
            <wp:positionH relativeFrom="page">
              <wp:align>center</wp:align>
            </wp:positionH>
            <wp:positionV relativeFrom="paragraph">
              <wp:posOffset>325120</wp:posOffset>
            </wp:positionV>
            <wp:extent cx="5180789" cy="2180590"/>
            <wp:effectExtent l="0" t="0" r="1270" b="0"/>
            <wp:wrapNone/>
            <wp:docPr id="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80789" cy="2180590"/>
                    </a:xfrm>
                    <a:prstGeom prst="rect">
                      <a:avLst/>
                    </a:prstGeom>
                  </pic:spPr>
                </pic:pic>
              </a:graphicData>
            </a:graphic>
            <wp14:sizeRelH relativeFrom="margin">
              <wp14:pctWidth>0</wp14:pctWidth>
            </wp14:sizeRelH>
            <wp14:sizeRelV relativeFrom="margin">
              <wp14:pctHeight>0</wp14:pctHeight>
            </wp14:sizeRelV>
          </wp:anchor>
        </w:drawing>
      </w:r>
      <w:r w:rsidRPr="002251C4">
        <w:rPr>
          <w:rFonts w:ascii="黑体" w:eastAsia="黑体" w:hAnsi="黑体" w:hint="eastAsia"/>
          <w:szCs w:val="22"/>
        </w:rPr>
        <w:t>四</w:t>
      </w:r>
      <w:r w:rsidRPr="002251C4">
        <w:rPr>
          <w:rFonts w:ascii="黑体" w:eastAsia="黑体" w:hAnsi="黑体"/>
          <w:szCs w:val="22"/>
        </w:rPr>
        <w:t>、</w:t>
      </w:r>
      <w:r w:rsidRPr="002251C4">
        <w:rPr>
          <w:rFonts w:ascii="黑体" w:eastAsia="黑体" w:hAnsi="黑体" w:hint="eastAsia"/>
          <w:szCs w:val="22"/>
        </w:rPr>
        <w:t>理赔流程</w:t>
      </w:r>
    </w:p>
    <w:p w14:paraId="2F12EEE4" w14:textId="77777777" w:rsidR="00A246BF" w:rsidRDefault="00A246BF" w:rsidP="00A246BF">
      <w:pPr>
        <w:adjustRightInd w:val="0"/>
        <w:snapToGrid w:val="0"/>
        <w:ind w:firstLineChars="200" w:firstLine="640"/>
        <w:jc w:val="both"/>
        <w:rPr>
          <w:rFonts w:ascii="仿宋_GB2312" w:hAnsi="等线"/>
          <w:szCs w:val="22"/>
        </w:rPr>
      </w:pPr>
    </w:p>
    <w:p w14:paraId="04637CEB" w14:textId="77777777" w:rsidR="00A246BF" w:rsidRDefault="00A246BF" w:rsidP="00A246BF">
      <w:pPr>
        <w:adjustRightInd w:val="0"/>
        <w:snapToGrid w:val="0"/>
        <w:ind w:firstLineChars="200" w:firstLine="640"/>
        <w:jc w:val="both"/>
        <w:rPr>
          <w:rFonts w:ascii="仿宋_GB2312" w:hAnsi="等线"/>
          <w:szCs w:val="22"/>
        </w:rPr>
      </w:pPr>
    </w:p>
    <w:p w14:paraId="77BBFFE9" w14:textId="77777777" w:rsidR="00A246BF" w:rsidRDefault="00A246BF" w:rsidP="00A246BF">
      <w:pPr>
        <w:adjustRightInd w:val="0"/>
        <w:snapToGrid w:val="0"/>
        <w:ind w:firstLineChars="200" w:firstLine="640"/>
        <w:jc w:val="both"/>
        <w:rPr>
          <w:rFonts w:ascii="仿宋_GB2312" w:hAnsi="等线"/>
          <w:szCs w:val="22"/>
        </w:rPr>
      </w:pPr>
    </w:p>
    <w:p w14:paraId="025584DC" w14:textId="77777777" w:rsidR="00A246BF" w:rsidRDefault="00A246BF" w:rsidP="00A246BF">
      <w:pPr>
        <w:adjustRightInd w:val="0"/>
        <w:snapToGrid w:val="0"/>
        <w:ind w:firstLineChars="200" w:firstLine="640"/>
        <w:jc w:val="both"/>
        <w:rPr>
          <w:rFonts w:ascii="仿宋_GB2312" w:hAnsi="等线"/>
          <w:szCs w:val="22"/>
        </w:rPr>
      </w:pPr>
    </w:p>
    <w:p w14:paraId="25D69F1A" w14:textId="77777777" w:rsidR="00A246BF" w:rsidRDefault="00A246BF" w:rsidP="00A246BF">
      <w:pPr>
        <w:adjustRightInd w:val="0"/>
        <w:snapToGrid w:val="0"/>
        <w:ind w:firstLineChars="200" w:firstLine="640"/>
        <w:jc w:val="both"/>
        <w:rPr>
          <w:rFonts w:ascii="仿宋_GB2312" w:hAnsi="等线"/>
          <w:szCs w:val="22"/>
        </w:rPr>
      </w:pPr>
    </w:p>
    <w:p w14:paraId="35A25E3F" w14:textId="77777777" w:rsidR="00A246BF" w:rsidRDefault="00A246BF" w:rsidP="00A246BF">
      <w:pPr>
        <w:adjustRightInd w:val="0"/>
        <w:snapToGrid w:val="0"/>
        <w:jc w:val="both"/>
        <w:rPr>
          <w:rFonts w:ascii="仿宋_GB2312" w:hAnsi="等线"/>
          <w:szCs w:val="22"/>
        </w:rPr>
      </w:pPr>
    </w:p>
    <w:p w14:paraId="31067167"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（1）出险报案</w:t>
      </w:r>
    </w:p>
    <w:p w14:paraId="5F394014"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企业在获知专利被侵权后，应及时向95518或项目小组专员进行报案。</w:t>
      </w:r>
    </w:p>
    <w:p w14:paraId="325C19EE"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（2）接案分析</w:t>
      </w:r>
    </w:p>
    <w:p w14:paraId="125B9110"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接到报案后，保险人将委托知识产权专业机构对专利是否稳定及是否存在被侵权等情况进行综合分析。</w:t>
      </w:r>
    </w:p>
    <w:p w14:paraId="5DD8BEDE"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（3）诉讼建议</w:t>
      </w:r>
    </w:p>
    <w:p w14:paraId="5F1F435B"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在对涉案专利是否稳定及是否存在被侵权情况进行分析后，保险人将根据专业评估结果给予企业维权策略建议，如稳定性不佳或不存在侵权等情况则建议企业取消诉讼采取其他维权策略；如侵权行为明确则建议企业诉讼维权。</w:t>
      </w:r>
    </w:p>
    <w:p w14:paraId="4D67EBCD"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（4）提供律师服务</w:t>
      </w:r>
    </w:p>
    <w:p w14:paraId="26CDE6F9"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在确定诉讼维权后，保险人提供专业知识产权律师，为企业进行专利维权法律咨询，并代理专利维权的仲裁及诉讼服务。律师费由保险公司赔付。</w:t>
      </w:r>
    </w:p>
    <w:p w14:paraId="4422AD95"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lastRenderedPageBreak/>
        <w:t>若企业不使用保险公司提供的律师，而自行委托律师，则律师费用由企业自行承担，且保险人不再赔付。</w:t>
      </w:r>
    </w:p>
    <w:p w14:paraId="0169FFC7"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（5）调查费用赔付</w:t>
      </w:r>
    </w:p>
    <w:p w14:paraId="5A86362E"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在企业进行诉讼、仲裁等立案后，保险人按照保险合同约定对案件所需要的必要的、合理的调查费用进行赔付。</w:t>
      </w:r>
    </w:p>
    <w:p w14:paraId="69D96816"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（6）无效费用赔付</w:t>
      </w:r>
    </w:p>
    <w:p w14:paraId="547B1671"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若在维权过程中被侵权方申请无效，保险人按照保险合同约定对专利无效调查费用、法律费用进行赔偿。</w:t>
      </w:r>
    </w:p>
    <w:p w14:paraId="1118CFF6"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（7）被侵权损害赔付</w:t>
      </w:r>
    </w:p>
    <w:p w14:paraId="7FEEBAD9"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企业进行诉讼后，若被侵权行为成立并由政府相关部门或司法机关确定损失金额，保险人可根据保险合同约定先行赔付，赔付后对侵权方代位追偿。</w:t>
      </w:r>
    </w:p>
    <w:p w14:paraId="048316AA" w14:textId="77777777" w:rsidR="00A246BF" w:rsidRPr="002251C4" w:rsidRDefault="00A246BF" w:rsidP="00A246BF">
      <w:pPr>
        <w:widowControl w:val="0"/>
        <w:adjustRightInd w:val="0"/>
        <w:snapToGrid w:val="0"/>
        <w:ind w:firstLineChars="200" w:firstLine="640"/>
        <w:jc w:val="both"/>
        <w:rPr>
          <w:rFonts w:ascii="黑体" w:eastAsia="黑体" w:hAnsi="黑体"/>
          <w:szCs w:val="22"/>
        </w:rPr>
      </w:pPr>
      <w:r w:rsidRPr="002251C4">
        <w:rPr>
          <w:rFonts w:ascii="黑体" w:eastAsia="黑体" w:hAnsi="黑体" w:hint="eastAsia"/>
          <w:szCs w:val="22"/>
        </w:rPr>
        <w:t>五</w:t>
      </w:r>
      <w:r w:rsidRPr="002251C4">
        <w:rPr>
          <w:rFonts w:ascii="黑体" w:eastAsia="黑体" w:hAnsi="黑体"/>
          <w:szCs w:val="22"/>
        </w:rPr>
        <w:t>、咨询方式</w:t>
      </w:r>
    </w:p>
    <w:p w14:paraId="340926BD"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联系人：王潇然、李艳文</w:t>
      </w:r>
    </w:p>
    <w:p w14:paraId="5E1FF63A"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联系电话：13911819793、18601180890</w:t>
      </w:r>
    </w:p>
    <w:p w14:paraId="0B35F98C"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电子邮箱：wangxiaoran01@beij.picc.com.cn</w:t>
      </w:r>
    </w:p>
    <w:p w14:paraId="30B3279B"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szCs w:val="22"/>
        </w:rPr>
        <w:t>liyanwen@beij.picc.com.cn</w:t>
      </w:r>
    </w:p>
    <w:p w14:paraId="6403448A"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如</w:t>
      </w:r>
      <w:r w:rsidRPr="002251C4">
        <w:rPr>
          <w:rFonts w:ascii="仿宋_GB2312" w:hAnsi="等线"/>
          <w:szCs w:val="22"/>
        </w:rPr>
        <w:t>有需要</w:t>
      </w:r>
      <w:r w:rsidRPr="002251C4">
        <w:rPr>
          <w:rFonts w:ascii="仿宋_GB2312" w:hAnsi="等线" w:hint="eastAsia"/>
          <w:szCs w:val="22"/>
        </w:rPr>
        <w:t>可</w:t>
      </w:r>
      <w:r w:rsidRPr="002251C4">
        <w:rPr>
          <w:rFonts w:ascii="仿宋_GB2312" w:hAnsi="等线"/>
          <w:szCs w:val="22"/>
        </w:rPr>
        <w:t>至</w:t>
      </w:r>
      <w:r w:rsidRPr="002251C4">
        <w:rPr>
          <w:rFonts w:ascii="仿宋_GB2312" w:hAnsi="等线" w:hint="eastAsia"/>
          <w:szCs w:val="22"/>
        </w:rPr>
        <w:t>指定</w:t>
      </w:r>
      <w:r w:rsidRPr="002251C4">
        <w:rPr>
          <w:rFonts w:ascii="仿宋_GB2312" w:hAnsi="等线"/>
          <w:szCs w:val="22"/>
        </w:rPr>
        <w:t>地址</w:t>
      </w:r>
      <w:r w:rsidRPr="002251C4">
        <w:rPr>
          <w:rFonts w:ascii="仿宋_GB2312" w:hAnsi="等线" w:hint="eastAsia"/>
          <w:szCs w:val="22"/>
        </w:rPr>
        <w:t>现场</w:t>
      </w:r>
      <w:r w:rsidRPr="002251C4">
        <w:rPr>
          <w:rFonts w:ascii="仿宋_GB2312" w:hAnsi="等线"/>
          <w:szCs w:val="22"/>
        </w:rPr>
        <w:t>咨询</w:t>
      </w:r>
    </w:p>
    <w:p w14:paraId="6C695D2A" w14:textId="77777777" w:rsidR="00A246BF" w:rsidRPr="002251C4"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崇文支公司</w:t>
      </w:r>
      <w:r w:rsidRPr="002251C4">
        <w:rPr>
          <w:rFonts w:ascii="仿宋_GB2312" w:hAnsi="等线"/>
          <w:szCs w:val="22"/>
        </w:rPr>
        <w:t>地址</w:t>
      </w:r>
      <w:r w:rsidRPr="002251C4">
        <w:rPr>
          <w:rFonts w:ascii="仿宋_GB2312" w:hAnsi="等线" w:hint="eastAsia"/>
          <w:szCs w:val="22"/>
        </w:rPr>
        <w:t>：</w:t>
      </w:r>
      <w:r w:rsidRPr="002251C4">
        <w:rPr>
          <w:rFonts w:ascii="仿宋_GB2312" w:hAnsi="等线"/>
          <w:szCs w:val="22"/>
        </w:rPr>
        <w:t>北京市</w:t>
      </w:r>
      <w:proofErr w:type="gramStart"/>
      <w:r w:rsidRPr="002251C4">
        <w:rPr>
          <w:rFonts w:ascii="仿宋_GB2312" w:hAnsi="等线"/>
          <w:szCs w:val="22"/>
        </w:rPr>
        <w:t>东城区左安门内大街</w:t>
      </w:r>
      <w:proofErr w:type="gramEnd"/>
      <w:r w:rsidRPr="002251C4">
        <w:rPr>
          <w:rFonts w:ascii="仿宋_GB2312" w:hAnsi="等线" w:hint="eastAsia"/>
          <w:szCs w:val="22"/>
        </w:rPr>
        <w:t>5号</w:t>
      </w:r>
    </w:p>
    <w:p w14:paraId="2127F7D7" w14:textId="77777777" w:rsidR="00A246BF" w:rsidRPr="00961972" w:rsidRDefault="00A246BF" w:rsidP="00A246BF">
      <w:pPr>
        <w:adjustRightInd w:val="0"/>
        <w:snapToGrid w:val="0"/>
        <w:ind w:firstLineChars="200" w:firstLine="640"/>
        <w:jc w:val="both"/>
        <w:rPr>
          <w:rFonts w:ascii="仿宋_GB2312" w:hAnsi="等线"/>
          <w:szCs w:val="22"/>
        </w:rPr>
      </w:pPr>
      <w:r w:rsidRPr="002251C4">
        <w:rPr>
          <w:rFonts w:ascii="仿宋_GB2312" w:hAnsi="等线" w:hint="eastAsia"/>
          <w:szCs w:val="22"/>
        </w:rPr>
        <w:t>西城</w:t>
      </w:r>
      <w:r w:rsidRPr="002251C4">
        <w:rPr>
          <w:rFonts w:ascii="仿宋_GB2312" w:hAnsi="等线"/>
          <w:szCs w:val="22"/>
        </w:rPr>
        <w:t>支公司地址：</w:t>
      </w:r>
      <w:r w:rsidRPr="002251C4">
        <w:rPr>
          <w:rFonts w:ascii="仿宋_GB2312" w:hAnsi="等线" w:hint="eastAsia"/>
          <w:szCs w:val="22"/>
        </w:rPr>
        <w:t>北京市西城区德外大街73号</w:t>
      </w:r>
    </w:p>
    <w:p w14:paraId="11538365" w14:textId="77777777" w:rsidR="00BA49A9" w:rsidRPr="00A246BF" w:rsidRDefault="00BA49A9"/>
    <w:sectPr w:rsidR="00BA49A9" w:rsidRPr="00A246BF" w:rsidSect="00DD0C5E">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BF"/>
    <w:rsid w:val="00206180"/>
    <w:rsid w:val="00A246BF"/>
    <w:rsid w:val="00BA4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6D5E"/>
  <w15:chartTrackingRefBased/>
  <w15:docId w15:val="{90765F4E-2444-4F0F-A0B5-DFA7ED8C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6BF"/>
    <w:pPr>
      <w:spacing w:line="560" w:lineRule="exact"/>
    </w:pPr>
    <w:rPr>
      <w:rFonts w:ascii="Times New Roman" w:eastAsia="仿宋_GB2312" w:hAnsi="Times New Roman" w:cs="Times New Roman"/>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A246BF"/>
    <w:rPr>
      <w:rFonts w:ascii="Times New Roman" w:eastAsia="仿宋_GB2312" w:hAnsi="Times New Roman" w:cs="Times New Roman"/>
      <w:sz w:val="32"/>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24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fanay</dc:creator>
  <cp:keywords/>
  <dc:description/>
  <cp:lastModifiedBy>fanay</cp:lastModifiedBy>
  <cp:revision>1</cp:revision>
  <dcterms:created xsi:type="dcterms:W3CDTF">2021-05-24T09:36:00Z</dcterms:created>
  <dcterms:modified xsi:type="dcterms:W3CDTF">2021-05-24T09:36:00Z</dcterms:modified>
</cp:coreProperties>
</file>